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F6E" w:rsidRDefault="00661F6E" w:rsidP="00661F6E">
      <w:pPr>
        <w:autoSpaceDE w:val="0"/>
        <w:autoSpaceDN w:val="0"/>
        <w:adjustRightInd w:val="0"/>
        <w:rPr>
          <w:rFonts w:asciiTheme="minorHAnsi" w:hAnsiTheme="minorHAnsi" w:cstheme="minorHAnsi"/>
          <w:color w:val="18345A"/>
          <w:sz w:val="52"/>
          <w:szCs w:val="48"/>
        </w:rPr>
      </w:pPr>
      <w:r>
        <w:rPr>
          <w:rFonts w:asciiTheme="minorHAnsi" w:hAnsiTheme="minorHAnsi" w:cstheme="minorHAnsi"/>
          <w:noProof/>
          <w:color w:val="18345A"/>
          <w:sz w:val="52"/>
          <w:szCs w:val="48"/>
          <w:lang w:eastAsia="it-IT"/>
        </w:rPr>
        <mc:AlternateContent>
          <mc:Choice Requires="wps">
            <w:drawing>
              <wp:anchor distT="0" distB="0" distL="114300" distR="114300" simplePos="0" relativeHeight="251659264" behindDoc="1" locked="0" layoutInCell="1" allowOverlap="1" wp14:anchorId="4FAB3B85" wp14:editId="7717332E">
                <wp:simplePos x="0" y="0"/>
                <wp:positionH relativeFrom="page">
                  <wp:posOffset>0</wp:posOffset>
                </wp:positionH>
                <wp:positionV relativeFrom="paragraph">
                  <wp:posOffset>-983615</wp:posOffset>
                </wp:positionV>
                <wp:extent cx="7560310" cy="10753725"/>
                <wp:effectExtent l="0" t="0" r="2540" b="952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753725"/>
                        </a:xfrm>
                        <a:prstGeom prst="rect">
                          <a:avLst/>
                        </a:prstGeom>
                        <a:solidFill>
                          <a:srgbClr val="1834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24EC2" id="Rettangolo 5" o:spid="_x0000_s1026" style="position:absolute;margin-left:0;margin-top:-77.45pt;width:595.3pt;height:846.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" fillcolor="#18345d" stroked="f">
                <w10:wrap anchorx="page"/>
              </v:rect>
            </w:pict>
          </mc:Fallback>
        </mc:AlternateContent>
      </w:r>
    </w:p>
    <w:p w:rsidR="00C63937" w:rsidRDefault="00C63937" w:rsidP="00661F6E">
      <w:pPr>
        <w:jc w:val="center"/>
        <w:rPr>
          <w:rFonts w:asciiTheme="minorHAnsi" w:hAnsiTheme="minorHAnsi" w:cstheme="minorHAnsi"/>
          <w:color w:val="FFFFFF" w:themeColor="background1"/>
          <w:sz w:val="56"/>
          <w:szCs w:val="56"/>
        </w:rPr>
      </w:pPr>
    </w:p>
    <w:p w:rsidR="00C63937" w:rsidRDefault="00C63937" w:rsidP="00661F6E">
      <w:pPr>
        <w:jc w:val="center"/>
        <w:rPr>
          <w:rFonts w:asciiTheme="minorHAnsi" w:hAnsiTheme="minorHAnsi" w:cstheme="minorHAnsi"/>
          <w:color w:val="FFFFFF" w:themeColor="background1"/>
          <w:sz w:val="56"/>
          <w:szCs w:val="56"/>
        </w:rPr>
      </w:pPr>
    </w:p>
    <w:p w:rsidR="00C63937" w:rsidRDefault="00C63937" w:rsidP="00661F6E">
      <w:pPr>
        <w:jc w:val="center"/>
        <w:rPr>
          <w:rFonts w:asciiTheme="minorHAnsi" w:hAnsiTheme="minorHAnsi" w:cstheme="minorHAnsi"/>
          <w:color w:val="FFFFFF" w:themeColor="background1"/>
          <w:sz w:val="56"/>
          <w:szCs w:val="56"/>
        </w:rPr>
      </w:pPr>
    </w:p>
    <w:p w:rsidR="00661F6E" w:rsidRPr="00EA5F30" w:rsidRDefault="00EA5F30" w:rsidP="00661F6E">
      <w:pPr>
        <w:jc w:val="center"/>
        <w:rPr>
          <w:rFonts w:asciiTheme="minorHAnsi" w:hAnsiTheme="minorHAnsi" w:cstheme="minorHAnsi"/>
          <w:color w:val="FFFFFF" w:themeColor="background1"/>
          <w:sz w:val="56"/>
          <w:szCs w:val="56"/>
        </w:rPr>
      </w:pPr>
      <w:r w:rsidRPr="00EA5F30">
        <w:rPr>
          <w:rFonts w:asciiTheme="minorHAnsi" w:hAnsiTheme="minorHAnsi" w:cstheme="minorHAnsi"/>
          <w:color w:val="FFFFFF" w:themeColor="background1"/>
          <w:sz w:val="56"/>
          <w:szCs w:val="56"/>
        </w:rPr>
        <w:t xml:space="preserve">Outlook </w:t>
      </w:r>
      <w:r w:rsidR="00C63937">
        <w:rPr>
          <w:rFonts w:asciiTheme="minorHAnsi" w:hAnsiTheme="minorHAnsi" w:cstheme="minorHAnsi"/>
          <w:color w:val="FFFFFF" w:themeColor="background1"/>
          <w:sz w:val="56"/>
          <w:szCs w:val="56"/>
        </w:rPr>
        <w:t>su</w:t>
      </w:r>
      <w:r w:rsidRPr="00EA5F30">
        <w:rPr>
          <w:rFonts w:asciiTheme="minorHAnsi" w:hAnsiTheme="minorHAnsi" w:cstheme="minorHAnsi"/>
          <w:color w:val="FFFFFF" w:themeColor="background1"/>
          <w:sz w:val="56"/>
          <w:szCs w:val="56"/>
        </w:rPr>
        <w:t>ll’economia del Mare</w:t>
      </w:r>
    </w:p>
    <w:p w:rsidR="00EA5F30" w:rsidRPr="00EA5F30" w:rsidRDefault="00EA5F30" w:rsidP="00661F6E">
      <w:pPr>
        <w:jc w:val="center"/>
        <w:rPr>
          <w:rFonts w:asciiTheme="minorHAnsi" w:hAnsiTheme="minorHAnsi" w:cstheme="minorHAnsi"/>
          <w:color w:val="FFFFFF" w:themeColor="background1"/>
          <w:sz w:val="56"/>
          <w:szCs w:val="56"/>
        </w:rPr>
      </w:pPr>
    </w:p>
    <w:p w:rsidR="00EA5F30" w:rsidRPr="00EA5F30" w:rsidRDefault="00EA5F30" w:rsidP="00661F6E">
      <w:pPr>
        <w:jc w:val="center"/>
        <w:rPr>
          <w:rFonts w:asciiTheme="minorHAnsi" w:hAnsiTheme="minorHAnsi" w:cstheme="minorHAnsi"/>
          <w:color w:val="FFFFFF" w:themeColor="background1"/>
          <w:sz w:val="56"/>
          <w:szCs w:val="56"/>
        </w:rPr>
      </w:pPr>
    </w:p>
    <w:p w:rsidR="00EA5F30" w:rsidRPr="003328E4" w:rsidRDefault="00EA5F30" w:rsidP="00661F6E">
      <w:pPr>
        <w:jc w:val="center"/>
        <w:rPr>
          <w:rFonts w:asciiTheme="minorHAnsi" w:hAnsiTheme="minorHAnsi" w:cstheme="minorHAnsi"/>
          <w:color w:val="FF0000"/>
          <w:sz w:val="48"/>
          <w:szCs w:val="48"/>
        </w:rPr>
      </w:pPr>
      <w:proofErr w:type="gramStart"/>
      <w:r w:rsidRPr="003328E4">
        <w:rPr>
          <w:rFonts w:asciiTheme="minorHAnsi" w:hAnsiTheme="minorHAnsi" w:cstheme="minorHAnsi"/>
          <w:color w:val="FF0000"/>
          <w:sz w:val="56"/>
          <w:szCs w:val="56"/>
        </w:rPr>
        <w:t>Emilia Romagna</w:t>
      </w:r>
      <w:proofErr w:type="gramEnd"/>
    </w:p>
    <w:p w:rsidR="00C63937" w:rsidRDefault="00C63937" w:rsidP="00661F6E">
      <w:pPr>
        <w:jc w:val="center"/>
        <w:rPr>
          <w:rFonts w:asciiTheme="minorHAnsi" w:hAnsiTheme="minorHAnsi" w:cstheme="minorHAnsi"/>
          <w:color w:val="FFFFFF" w:themeColor="background1"/>
          <w:sz w:val="52"/>
          <w:szCs w:val="48"/>
        </w:rPr>
      </w:pPr>
    </w:p>
    <w:p w:rsidR="00C63937" w:rsidRDefault="00C63937" w:rsidP="00661F6E">
      <w:pPr>
        <w:jc w:val="center"/>
        <w:rPr>
          <w:rFonts w:asciiTheme="minorHAnsi" w:hAnsiTheme="minorHAnsi" w:cstheme="minorHAnsi"/>
          <w:color w:val="FFFFFF" w:themeColor="background1"/>
          <w:sz w:val="52"/>
          <w:szCs w:val="48"/>
        </w:rPr>
      </w:pPr>
    </w:p>
    <w:p w:rsidR="00C63937" w:rsidRDefault="00C63937" w:rsidP="00661F6E">
      <w:pPr>
        <w:jc w:val="center"/>
        <w:rPr>
          <w:rFonts w:asciiTheme="minorHAnsi" w:hAnsiTheme="minorHAnsi" w:cstheme="minorHAnsi"/>
          <w:color w:val="FFFFFF" w:themeColor="background1"/>
          <w:sz w:val="52"/>
          <w:szCs w:val="48"/>
        </w:rPr>
      </w:pPr>
    </w:p>
    <w:p w:rsidR="00C63937" w:rsidRDefault="00C63937" w:rsidP="00661F6E">
      <w:pPr>
        <w:jc w:val="center"/>
        <w:rPr>
          <w:rFonts w:asciiTheme="minorHAnsi" w:hAnsiTheme="minorHAnsi" w:cstheme="minorHAnsi"/>
          <w:color w:val="FFFFFF" w:themeColor="background1"/>
          <w:sz w:val="52"/>
          <w:szCs w:val="48"/>
        </w:rPr>
      </w:pPr>
    </w:p>
    <w:p w:rsidR="00C63937" w:rsidRDefault="00C63937" w:rsidP="00661F6E">
      <w:pPr>
        <w:jc w:val="center"/>
        <w:rPr>
          <w:rFonts w:asciiTheme="minorHAnsi" w:hAnsiTheme="minorHAnsi" w:cstheme="minorHAnsi"/>
          <w:color w:val="FFFFFF" w:themeColor="background1"/>
          <w:sz w:val="52"/>
          <w:szCs w:val="48"/>
        </w:rPr>
      </w:pPr>
    </w:p>
    <w:p w:rsidR="00C63937" w:rsidRDefault="00C63937" w:rsidP="00661F6E">
      <w:pPr>
        <w:jc w:val="center"/>
        <w:rPr>
          <w:rFonts w:asciiTheme="minorHAnsi" w:hAnsiTheme="minorHAnsi" w:cstheme="minorHAnsi"/>
          <w:color w:val="FFFFFF" w:themeColor="background1"/>
          <w:sz w:val="52"/>
          <w:szCs w:val="48"/>
        </w:rPr>
      </w:pPr>
    </w:p>
    <w:p w:rsidR="00C63937" w:rsidRDefault="00C63937" w:rsidP="00661F6E">
      <w:pPr>
        <w:jc w:val="center"/>
        <w:rPr>
          <w:rFonts w:asciiTheme="minorHAnsi" w:hAnsiTheme="minorHAnsi" w:cstheme="minorHAnsi"/>
          <w:color w:val="FFFFFF" w:themeColor="background1"/>
          <w:sz w:val="52"/>
          <w:szCs w:val="48"/>
        </w:rPr>
      </w:pPr>
    </w:p>
    <w:p w:rsidR="00C63937" w:rsidRDefault="00C63937" w:rsidP="00661F6E">
      <w:pPr>
        <w:jc w:val="center"/>
        <w:rPr>
          <w:rFonts w:asciiTheme="minorHAnsi" w:hAnsiTheme="minorHAnsi" w:cstheme="minorHAnsi"/>
          <w:color w:val="FFFFFF" w:themeColor="background1"/>
          <w:sz w:val="52"/>
          <w:szCs w:val="48"/>
        </w:rPr>
      </w:pPr>
    </w:p>
    <w:p w:rsidR="00C63937" w:rsidRDefault="00C63937" w:rsidP="00661F6E">
      <w:pPr>
        <w:jc w:val="center"/>
        <w:rPr>
          <w:rFonts w:asciiTheme="minorHAnsi" w:hAnsiTheme="minorHAnsi" w:cstheme="minorHAnsi"/>
          <w:color w:val="FFFFFF" w:themeColor="background1"/>
          <w:sz w:val="52"/>
          <w:szCs w:val="48"/>
        </w:rPr>
      </w:pPr>
    </w:p>
    <w:p w:rsidR="00661F6E" w:rsidRPr="00EA5F30" w:rsidRDefault="00C63937" w:rsidP="00661F6E">
      <w:pPr>
        <w:jc w:val="center"/>
        <w:rPr>
          <w:rFonts w:asciiTheme="minorHAnsi" w:hAnsiTheme="minorHAnsi" w:cstheme="minorHAnsi"/>
          <w:color w:val="FFFFFF" w:themeColor="background1"/>
          <w:sz w:val="52"/>
          <w:szCs w:val="48"/>
        </w:rPr>
      </w:pPr>
      <w:r w:rsidRPr="00C63937">
        <w:rPr>
          <w:rFonts w:asciiTheme="minorHAnsi" w:hAnsiTheme="minorHAnsi" w:cstheme="minorHAnsi"/>
          <w:noProof/>
          <w:color w:val="FFFFFF" w:themeColor="background1"/>
          <w:sz w:val="52"/>
          <w:szCs w:val="48"/>
        </w:rPr>
        <w:drawing>
          <wp:inline distT="0" distB="0" distL="0" distR="0" wp14:anchorId="4080DA05" wp14:editId="2A38D65F">
            <wp:extent cx="1620736" cy="801964"/>
            <wp:effectExtent l="0" t="0" r="0" b="0"/>
            <wp:docPr id="13" name="Immagine 12">
              <a:extLst xmlns:a="http://schemas.openxmlformats.org/drawingml/2006/main">
                <a:ext uri="{FF2B5EF4-FFF2-40B4-BE49-F238E27FC236}">
                  <a16:creationId xmlns:a16="http://schemas.microsoft.com/office/drawing/2014/main" id="{73B82472-2D74-4DF9-87F9-3810B871FA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2">
                      <a:extLst>
                        <a:ext uri="{FF2B5EF4-FFF2-40B4-BE49-F238E27FC236}">
                          <a16:creationId xmlns:a16="http://schemas.microsoft.com/office/drawing/2014/main" id="{73B82472-2D74-4DF9-87F9-3810B871FA1F}"/>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17146" t="16030" r="14888" b="36378"/>
                    <a:stretch/>
                  </pic:blipFill>
                  <pic:spPr>
                    <a:xfrm>
                      <a:off x="0" y="0"/>
                      <a:ext cx="1620736" cy="801964"/>
                    </a:xfrm>
                    <a:prstGeom prst="rect">
                      <a:avLst/>
                    </a:prstGeom>
                  </pic:spPr>
                </pic:pic>
              </a:graphicData>
            </a:graphic>
          </wp:inline>
        </w:drawing>
      </w:r>
      <w:r w:rsidR="00661F6E" w:rsidRPr="00EA5F30">
        <w:rPr>
          <w:rFonts w:asciiTheme="minorHAnsi" w:hAnsiTheme="minorHAnsi" w:cstheme="minorHAnsi"/>
          <w:color w:val="FFFFFF" w:themeColor="background1"/>
          <w:sz w:val="52"/>
          <w:szCs w:val="48"/>
        </w:rPr>
        <w:br w:type="page"/>
      </w:r>
    </w:p>
    <w:p w:rsidR="00661F6E" w:rsidRPr="00EA5F30" w:rsidRDefault="00661F6E">
      <w:pPr>
        <w:rPr>
          <w:rFonts w:asciiTheme="minorHAnsi" w:hAnsiTheme="minorHAnsi" w:cstheme="minorHAnsi"/>
          <w:b/>
          <w:color w:val="FFFFFF" w:themeColor="background1"/>
          <w:sz w:val="28"/>
          <w:szCs w:val="28"/>
        </w:rPr>
        <w:sectPr w:rsidR="00661F6E" w:rsidRPr="00EA5F30" w:rsidSect="00832536">
          <w:headerReference w:type="even" r:id="rId9"/>
          <w:headerReference w:type="default" r:id="rId10"/>
          <w:footerReference w:type="even" r:id="rId11"/>
          <w:footerReference w:type="default" r:id="rId12"/>
          <w:headerReference w:type="first" r:id="rId13"/>
          <w:footerReference w:type="first" r:id="rId14"/>
          <w:pgSz w:w="11906" w:h="16838"/>
          <w:pgMar w:top="1417" w:right="991" w:bottom="1134" w:left="1134" w:header="708" w:footer="708" w:gutter="0"/>
          <w:cols w:space="708"/>
          <w:docGrid w:linePitch="360"/>
        </w:sectPr>
      </w:pPr>
    </w:p>
    <w:p w:rsidR="00D02F82" w:rsidRDefault="00D02F82">
      <w:pPr>
        <w:rPr>
          <w:rFonts w:asciiTheme="minorHAnsi" w:hAnsiTheme="minorHAnsi" w:cstheme="minorHAnsi"/>
          <w:b/>
          <w:sz w:val="28"/>
          <w:szCs w:val="28"/>
        </w:rPr>
      </w:pPr>
      <w:r>
        <w:rPr>
          <w:rFonts w:asciiTheme="minorHAnsi" w:hAnsiTheme="minorHAnsi" w:cstheme="minorHAnsi"/>
          <w:b/>
          <w:sz w:val="28"/>
          <w:szCs w:val="28"/>
        </w:rPr>
        <w:lastRenderedPageBreak/>
        <w:t>Inquadramento strategico del porto di Ravenna</w:t>
      </w:r>
    </w:p>
    <w:p w:rsidR="00EF1C35" w:rsidRDefault="00EF1C35">
      <w:pPr>
        <w:rPr>
          <w:rFonts w:asciiTheme="minorHAnsi" w:hAnsiTheme="minorHAnsi" w:cstheme="minorHAnsi"/>
          <w:b/>
          <w:sz w:val="28"/>
          <w:szCs w:val="28"/>
        </w:rPr>
      </w:pPr>
    </w:p>
    <w:p w:rsidR="00D02F82" w:rsidRDefault="00EF1C35" w:rsidP="00EF1C35">
      <w:pPr>
        <w:jc w:val="both"/>
        <w:rPr>
          <w:rFonts w:asciiTheme="minorHAnsi" w:hAnsiTheme="minorHAnsi" w:cstheme="minorHAnsi"/>
          <w:sz w:val="24"/>
          <w:szCs w:val="24"/>
        </w:rPr>
      </w:pPr>
      <w:r w:rsidRPr="00EF1C35">
        <w:rPr>
          <w:rFonts w:asciiTheme="minorHAnsi" w:hAnsiTheme="minorHAnsi" w:cstheme="minorHAnsi"/>
          <w:sz w:val="24"/>
          <w:szCs w:val="24"/>
        </w:rPr>
        <w:t>Il Porto di Ravenna rappresenta l’unico porto dell’Emilia-Romagna. In virtù della sua strategica posizione geografica</w:t>
      </w:r>
      <w:r>
        <w:rPr>
          <w:rFonts w:asciiTheme="minorHAnsi" w:hAnsiTheme="minorHAnsi" w:cstheme="minorHAnsi"/>
          <w:sz w:val="24"/>
          <w:szCs w:val="24"/>
        </w:rPr>
        <w:t xml:space="preserve"> sull’Adriatico</w:t>
      </w:r>
      <w:r w:rsidRPr="00EF1C35">
        <w:rPr>
          <w:rFonts w:asciiTheme="minorHAnsi" w:hAnsiTheme="minorHAnsi" w:cstheme="minorHAnsi"/>
          <w:sz w:val="24"/>
          <w:szCs w:val="24"/>
        </w:rPr>
        <w:t xml:space="preserve">, si </w:t>
      </w:r>
      <w:r>
        <w:rPr>
          <w:rFonts w:asciiTheme="minorHAnsi" w:hAnsiTheme="minorHAnsi" w:cstheme="minorHAnsi"/>
          <w:sz w:val="24"/>
          <w:szCs w:val="24"/>
        </w:rPr>
        <w:t>propone come scalo privilegiato per</w:t>
      </w:r>
      <w:r w:rsidRPr="00EF1C35">
        <w:rPr>
          <w:rFonts w:asciiTheme="minorHAnsi" w:hAnsiTheme="minorHAnsi" w:cstheme="minorHAnsi"/>
          <w:sz w:val="24"/>
          <w:szCs w:val="24"/>
        </w:rPr>
        <w:t xml:space="preserve"> gli scambi commerciali con i mercati del Mediterraneo orientale e del Mar Nero</w:t>
      </w:r>
      <w:r w:rsidR="009A483D">
        <w:rPr>
          <w:rFonts w:asciiTheme="minorHAnsi" w:hAnsiTheme="minorHAnsi" w:cstheme="minorHAnsi"/>
          <w:sz w:val="24"/>
          <w:szCs w:val="24"/>
        </w:rPr>
        <w:t>.</w:t>
      </w:r>
    </w:p>
    <w:p w:rsidR="00CC11B2" w:rsidRDefault="001F04F3" w:rsidP="00EF1C35">
      <w:pPr>
        <w:jc w:val="both"/>
        <w:rPr>
          <w:rFonts w:asciiTheme="minorHAnsi" w:hAnsiTheme="minorHAnsi" w:cstheme="minorHAnsi"/>
          <w:sz w:val="24"/>
          <w:szCs w:val="24"/>
        </w:rPr>
      </w:pPr>
      <w:r>
        <w:rPr>
          <w:rFonts w:asciiTheme="minorHAnsi" w:hAnsiTheme="minorHAnsi" w:cstheme="minorHAnsi"/>
          <w:sz w:val="24"/>
          <w:szCs w:val="24"/>
        </w:rPr>
        <w:t>S</w:t>
      </w:r>
      <w:r w:rsidR="00527D40" w:rsidRPr="00527D40">
        <w:rPr>
          <w:rFonts w:asciiTheme="minorHAnsi" w:hAnsiTheme="minorHAnsi" w:cstheme="minorHAnsi"/>
          <w:sz w:val="24"/>
          <w:szCs w:val="24"/>
        </w:rPr>
        <w:t xml:space="preserve">i distingue per il traffico di rinfuse solide e di merci in colli, per </w:t>
      </w:r>
      <w:r w:rsidR="00224B65">
        <w:rPr>
          <w:rFonts w:asciiTheme="minorHAnsi" w:hAnsiTheme="minorHAnsi" w:cstheme="minorHAnsi"/>
          <w:sz w:val="24"/>
          <w:szCs w:val="24"/>
        </w:rPr>
        <w:t xml:space="preserve">entrambe </w:t>
      </w:r>
      <w:r w:rsidR="00527D40" w:rsidRPr="00527D40">
        <w:rPr>
          <w:rFonts w:asciiTheme="minorHAnsi" w:hAnsiTheme="minorHAnsi" w:cstheme="minorHAnsi"/>
          <w:sz w:val="24"/>
          <w:szCs w:val="24"/>
        </w:rPr>
        <w:t xml:space="preserve">le quali </w:t>
      </w:r>
      <w:r w:rsidR="000F0440">
        <w:rPr>
          <w:rFonts w:asciiTheme="minorHAnsi" w:hAnsiTheme="minorHAnsi" w:cstheme="minorHAnsi"/>
          <w:sz w:val="24"/>
          <w:szCs w:val="24"/>
        </w:rPr>
        <w:t>è leader</w:t>
      </w:r>
      <w:r w:rsidR="00527D40" w:rsidRPr="00527D40">
        <w:rPr>
          <w:rFonts w:asciiTheme="minorHAnsi" w:hAnsiTheme="minorHAnsi" w:cstheme="minorHAnsi"/>
          <w:sz w:val="24"/>
          <w:szCs w:val="24"/>
        </w:rPr>
        <w:t xml:space="preserve"> </w:t>
      </w:r>
      <w:r>
        <w:rPr>
          <w:rFonts w:asciiTheme="minorHAnsi" w:hAnsiTheme="minorHAnsi" w:cstheme="minorHAnsi"/>
          <w:sz w:val="24"/>
          <w:szCs w:val="24"/>
        </w:rPr>
        <w:t>tra tutti i porti italiani.</w:t>
      </w:r>
      <w:r w:rsidR="007A326C" w:rsidRPr="00731951">
        <w:rPr>
          <w:rFonts w:asciiTheme="minorHAnsi" w:hAnsiTheme="minorHAnsi" w:cstheme="minorHAnsi"/>
          <w:sz w:val="24"/>
          <w:szCs w:val="24"/>
        </w:rPr>
        <w:t xml:space="preserve"> Il porto di Ravenna, è il primo punto di approdo delle merci di importazione in regione, e</w:t>
      </w:r>
      <w:r w:rsidR="00731951">
        <w:rPr>
          <w:rFonts w:asciiTheme="minorHAnsi" w:hAnsiTheme="minorHAnsi" w:cstheme="minorHAnsi"/>
          <w:sz w:val="24"/>
          <w:szCs w:val="24"/>
        </w:rPr>
        <w:t xml:space="preserve"> infatti </w:t>
      </w:r>
      <w:r w:rsidR="007A326C" w:rsidRPr="00731951">
        <w:rPr>
          <w:rFonts w:asciiTheme="minorHAnsi" w:hAnsiTheme="minorHAnsi" w:cstheme="minorHAnsi"/>
          <w:sz w:val="24"/>
          <w:szCs w:val="24"/>
        </w:rPr>
        <w:t>d</w:t>
      </w:r>
      <w:r w:rsidR="005A75BB">
        <w:rPr>
          <w:rFonts w:asciiTheme="minorHAnsi" w:hAnsiTheme="minorHAnsi" w:cstheme="minorHAnsi"/>
          <w:sz w:val="24"/>
          <w:szCs w:val="24"/>
        </w:rPr>
        <w:t>etiene il primato</w:t>
      </w:r>
      <w:r w:rsidR="00924FF1">
        <w:rPr>
          <w:rFonts w:asciiTheme="minorHAnsi" w:hAnsiTheme="minorHAnsi" w:cstheme="minorHAnsi"/>
          <w:sz w:val="24"/>
          <w:szCs w:val="24"/>
        </w:rPr>
        <w:t xml:space="preserve"> </w:t>
      </w:r>
      <w:r w:rsidR="007A326C">
        <w:rPr>
          <w:rFonts w:asciiTheme="minorHAnsi" w:hAnsiTheme="minorHAnsi" w:cstheme="minorHAnsi"/>
          <w:sz w:val="24"/>
          <w:szCs w:val="24"/>
        </w:rPr>
        <w:t xml:space="preserve">italiano </w:t>
      </w:r>
      <w:r w:rsidR="00924FF1">
        <w:rPr>
          <w:rFonts w:asciiTheme="minorHAnsi" w:hAnsiTheme="minorHAnsi" w:cstheme="minorHAnsi"/>
          <w:sz w:val="24"/>
          <w:szCs w:val="24"/>
        </w:rPr>
        <w:t xml:space="preserve">nello </w:t>
      </w:r>
      <w:r w:rsidR="00924FF1" w:rsidRPr="00924FF1">
        <w:rPr>
          <w:rFonts w:asciiTheme="minorHAnsi" w:hAnsiTheme="minorHAnsi" w:cstheme="minorHAnsi"/>
          <w:sz w:val="24"/>
          <w:szCs w:val="24"/>
        </w:rPr>
        <w:t xml:space="preserve">sbarco </w:t>
      </w:r>
      <w:r w:rsidR="00C122FA">
        <w:rPr>
          <w:rFonts w:asciiTheme="minorHAnsi" w:hAnsiTheme="minorHAnsi" w:cstheme="minorHAnsi"/>
          <w:sz w:val="24"/>
          <w:szCs w:val="24"/>
        </w:rPr>
        <w:t xml:space="preserve">di merci solide, nel dettaglio </w:t>
      </w:r>
      <w:r w:rsidR="00924FF1" w:rsidRPr="00924FF1">
        <w:rPr>
          <w:rFonts w:asciiTheme="minorHAnsi" w:hAnsiTheme="minorHAnsi" w:cstheme="minorHAnsi"/>
          <w:sz w:val="24"/>
          <w:szCs w:val="24"/>
        </w:rPr>
        <w:t>delle materie prime per l’industria della ceramica, dei cereali, dei fertilizzanti e degli sfarinati.</w:t>
      </w:r>
    </w:p>
    <w:p w:rsidR="0047203B" w:rsidRDefault="00C122FA" w:rsidP="0047203B">
      <w:pPr>
        <w:jc w:val="both"/>
        <w:rPr>
          <w:sz w:val="24"/>
          <w:szCs w:val="24"/>
        </w:rPr>
      </w:pPr>
      <w:r>
        <w:rPr>
          <w:rFonts w:asciiTheme="minorHAnsi" w:hAnsiTheme="minorHAnsi" w:cstheme="minorHAnsi"/>
          <w:sz w:val="24"/>
          <w:szCs w:val="24"/>
        </w:rPr>
        <w:t>I</w:t>
      </w:r>
      <w:r w:rsidR="003A2ED9" w:rsidRPr="0047203B">
        <w:rPr>
          <w:rFonts w:asciiTheme="minorHAnsi" w:hAnsiTheme="minorHAnsi" w:cstheme="minorHAnsi"/>
          <w:sz w:val="24"/>
          <w:szCs w:val="24"/>
        </w:rPr>
        <w:t>l Porto di Ravenna ha</w:t>
      </w:r>
      <w:r>
        <w:rPr>
          <w:rFonts w:asciiTheme="minorHAnsi" w:hAnsiTheme="minorHAnsi" w:cstheme="minorHAnsi"/>
          <w:sz w:val="24"/>
          <w:szCs w:val="24"/>
        </w:rPr>
        <w:t xml:space="preserve"> anche</w:t>
      </w:r>
      <w:r w:rsidR="003A2ED9" w:rsidRPr="0047203B">
        <w:rPr>
          <w:rFonts w:asciiTheme="minorHAnsi" w:hAnsiTheme="minorHAnsi" w:cstheme="minorHAnsi"/>
          <w:sz w:val="24"/>
          <w:szCs w:val="24"/>
        </w:rPr>
        <w:t xml:space="preserve"> un buon posizionamento in Adriatico nella politica delle Autostrade del Mare e rappresenta </w:t>
      </w:r>
      <w:r w:rsidR="003A2ED9" w:rsidRPr="0047203B">
        <w:rPr>
          <w:sz w:val="24"/>
          <w:szCs w:val="24"/>
        </w:rPr>
        <w:t>uno snodo fondamentale per i servizi di cabotaggio nazionale nella direttrice con la Sicilia, attuati con navi RO-RO</w:t>
      </w:r>
      <w:r w:rsidR="0047203B">
        <w:rPr>
          <w:sz w:val="24"/>
          <w:szCs w:val="24"/>
        </w:rPr>
        <w:t>. Sono ampi i margini di sviluppo in questo comparto dato che l’Europa spinge in modo sempre più spinto sulla sostenibilità e le Autostrade del Mare, sottraendo i camion alla strada e imbarcandoli sulle navi, risponde proprio a questa esigenza. In Italia l</w:t>
      </w:r>
      <w:r w:rsidR="0047203B" w:rsidRPr="0047203B">
        <w:rPr>
          <w:sz w:val="24"/>
          <w:szCs w:val="24"/>
        </w:rPr>
        <w:t>a legge 178/2020 detta “Legge di Bilancio” 2021 al comma 672 e 673, approvata lo scorso dicembre, ha prorogato gli incentivi per lo shift modale strada/mare (</w:t>
      </w:r>
      <w:proofErr w:type="spellStart"/>
      <w:r w:rsidR="0047203B" w:rsidRPr="0047203B">
        <w:rPr>
          <w:i/>
          <w:sz w:val="24"/>
          <w:szCs w:val="24"/>
        </w:rPr>
        <w:t>marebonus</w:t>
      </w:r>
      <w:proofErr w:type="spellEnd"/>
      <w:r w:rsidR="0047203B" w:rsidRPr="0047203B">
        <w:rPr>
          <w:sz w:val="24"/>
          <w:szCs w:val="24"/>
        </w:rPr>
        <w:t>) e strada/ferro (</w:t>
      </w:r>
      <w:proofErr w:type="spellStart"/>
      <w:r w:rsidR="0047203B" w:rsidRPr="0047203B">
        <w:rPr>
          <w:i/>
          <w:sz w:val="24"/>
          <w:szCs w:val="24"/>
        </w:rPr>
        <w:t>ferrobonus</w:t>
      </w:r>
      <w:proofErr w:type="spellEnd"/>
      <w:r w:rsidR="0047203B" w:rsidRPr="0047203B">
        <w:rPr>
          <w:sz w:val="24"/>
          <w:szCs w:val="24"/>
        </w:rPr>
        <w:t>).</w:t>
      </w:r>
    </w:p>
    <w:p w:rsidR="007062E8" w:rsidRPr="0047203B" w:rsidRDefault="007062E8" w:rsidP="0047203B">
      <w:pPr>
        <w:jc w:val="both"/>
        <w:rPr>
          <w:sz w:val="24"/>
          <w:szCs w:val="24"/>
        </w:rPr>
      </w:pPr>
    </w:p>
    <w:p w:rsidR="008B2262" w:rsidRDefault="0047203B" w:rsidP="00EF1C35">
      <w:pPr>
        <w:jc w:val="both"/>
        <w:rPr>
          <w:rFonts w:asciiTheme="minorHAnsi" w:hAnsiTheme="minorHAnsi" w:cstheme="minorHAnsi"/>
          <w:sz w:val="24"/>
          <w:szCs w:val="24"/>
        </w:rPr>
      </w:pPr>
      <w:r>
        <w:rPr>
          <w:rFonts w:asciiTheme="minorHAnsi" w:hAnsiTheme="minorHAnsi" w:cstheme="minorHAnsi"/>
          <w:sz w:val="24"/>
          <w:szCs w:val="24"/>
        </w:rPr>
        <w:t>Riguardo al segmento dei container le prospettive di crescita sono legate al</w:t>
      </w:r>
      <w:r w:rsidR="008B2262">
        <w:rPr>
          <w:rFonts w:asciiTheme="minorHAnsi" w:hAnsiTheme="minorHAnsi" w:cstheme="minorHAnsi"/>
          <w:sz w:val="24"/>
          <w:szCs w:val="24"/>
        </w:rPr>
        <w:t xml:space="preserve"> progetto più importante inerente il porto di Ravenna</w:t>
      </w:r>
      <w:r>
        <w:rPr>
          <w:rFonts w:asciiTheme="minorHAnsi" w:hAnsiTheme="minorHAnsi" w:cstheme="minorHAnsi"/>
          <w:sz w:val="24"/>
          <w:szCs w:val="24"/>
        </w:rPr>
        <w:t xml:space="preserve"> che </w:t>
      </w:r>
      <w:r w:rsidR="008B2262">
        <w:rPr>
          <w:rFonts w:asciiTheme="minorHAnsi" w:hAnsiTheme="minorHAnsi" w:cstheme="minorHAnsi"/>
          <w:sz w:val="24"/>
          <w:szCs w:val="24"/>
        </w:rPr>
        <w:t>è l’“</w:t>
      </w:r>
      <w:proofErr w:type="spellStart"/>
      <w:r w:rsidR="008B2262">
        <w:rPr>
          <w:rFonts w:asciiTheme="minorHAnsi" w:hAnsiTheme="minorHAnsi" w:cstheme="minorHAnsi"/>
          <w:sz w:val="24"/>
          <w:szCs w:val="24"/>
        </w:rPr>
        <w:t>Hub</w:t>
      </w:r>
      <w:proofErr w:type="spellEnd"/>
      <w:r w:rsidR="008B2262">
        <w:rPr>
          <w:rFonts w:asciiTheme="minorHAnsi" w:hAnsiTheme="minorHAnsi" w:cstheme="minorHAnsi"/>
          <w:sz w:val="24"/>
          <w:szCs w:val="24"/>
        </w:rPr>
        <w:t xml:space="preserve"> portuale”. </w:t>
      </w:r>
      <w:r w:rsidR="00B2333A">
        <w:rPr>
          <w:rFonts w:asciiTheme="minorHAnsi" w:hAnsiTheme="minorHAnsi" w:cstheme="minorHAnsi"/>
          <w:sz w:val="24"/>
          <w:szCs w:val="24"/>
        </w:rPr>
        <w:t>Il</w:t>
      </w:r>
      <w:r w:rsidR="008B2262" w:rsidRPr="008B2262">
        <w:rPr>
          <w:rFonts w:asciiTheme="minorHAnsi" w:hAnsiTheme="minorHAnsi" w:cstheme="minorHAnsi"/>
          <w:bCs/>
          <w:sz w:val="24"/>
          <w:szCs w:val="24"/>
        </w:rPr>
        <w:t xml:space="preserve"> Progetto</w:t>
      </w:r>
      <w:r w:rsidR="008B2262" w:rsidRPr="008B2262">
        <w:rPr>
          <w:rFonts w:asciiTheme="minorHAnsi" w:hAnsiTheme="minorHAnsi" w:cstheme="minorHAnsi"/>
          <w:sz w:val="24"/>
          <w:szCs w:val="24"/>
        </w:rPr>
        <w:t>, del valore complessivo di 235 milioni euro - finanziati da CIPE, Banca Europea degli Investimenti, Unione Europea (Innovation and Networks Executive Agency) e dalla stessa Autorità di Sistema Portuale -</w:t>
      </w:r>
      <w:r w:rsidR="0099741C">
        <w:rPr>
          <w:rFonts w:asciiTheme="minorHAnsi" w:hAnsiTheme="minorHAnsi" w:cstheme="minorHAnsi"/>
          <w:sz w:val="24"/>
          <w:szCs w:val="24"/>
        </w:rPr>
        <w:t xml:space="preserve">prevede due fasi: la prima </w:t>
      </w:r>
      <w:r w:rsidR="008B2262" w:rsidRPr="008B2262">
        <w:rPr>
          <w:rFonts w:asciiTheme="minorHAnsi" w:hAnsiTheme="minorHAnsi" w:cstheme="minorHAnsi"/>
          <w:bCs/>
          <w:sz w:val="24"/>
          <w:szCs w:val="24"/>
        </w:rPr>
        <w:t>consiste nell’</w:t>
      </w:r>
      <w:r w:rsidR="008B2262" w:rsidRPr="008B2262">
        <w:rPr>
          <w:rFonts w:asciiTheme="minorHAnsi" w:hAnsiTheme="minorHAnsi" w:cstheme="minorHAnsi"/>
          <w:sz w:val="24"/>
          <w:szCs w:val="24"/>
        </w:rPr>
        <w:t>approfondire i fondali del porto sino a -12,5 mt e nella realizzazione di una nuova banchina della lunghezza di oltre 1.000 mt a servizio di una nuova area portuale da destinarsi principalmente a Terminal Container.</w:t>
      </w:r>
      <w:r w:rsidR="008B2262">
        <w:rPr>
          <w:rFonts w:asciiTheme="minorHAnsi" w:hAnsiTheme="minorHAnsi" w:cstheme="minorHAnsi"/>
          <w:sz w:val="24"/>
          <w:szCs w:val="24"/>
        </w:rPr>
        <w:t xml:space="preserve"> </w:t>
      </w:r>
      <w:r w:rsidR="008B2262" w:rsidRPr="008B2262">
        <w:rPr>
          <w:rFonts w:asciiTheme="minorHAnsi" w:hAnsiTheme="minorHAnsi" w:cstheme="minorHAnsi"/>
          <w:bCs/>
          <w:sz w:val="24"/>
          <w:szCs w:val="24"/>
        </w:rPr>
        <w:t>La fase II prevede l’adeguamento delle banchine, l’approfondimento dei fondali a -14,50 mt e la realizzazione di un impianto</w:t>
      </w:r>
      <w:r w:rsidR="0099741C">
        <w:rPr>
          <w:rFonts w:asciiTheme="minorHAnsi" w:hAnsiTheme="minorHAnsi" w:cstheme="minorHAnsi"/>
          <w:bCs/>
          <w:sz w:val="24"/>
          <w:szCs w:val="24"/>
        </w:rPr>
        <w:t xml:space="preserve"> </w:t>
      </w:r>
      <w:r w:rsidR="008B2262" w:rsidRPr="008B2262">
        <w:rPr>
          <w:rFonts w:asciiTheme="minorHAnsi" w:hAnsiTheme="minorHAnsi" w:cstheme="minorHAnsi"/>
          <w:sz w:val="24"/>
          <w:szCs w:val="24"/>
        </w:rPr>
        <w:t>di trattamento dei materiali risultanti dall’escavo</w:t>
      </w:r>
      <w:r w:rsidR="004C11CB">
        <w:rPr>
          <w:rFonts w:asciiTheme="minorHAnsi" w:hAnsiTheme="minorHAnsi" w:cstheme="minorHAnsi"/>
          <w:sz w:val="24"/>
          <w:szCs w:val="24"/>
        </w:rPr>
        <w:t>.</w:t>
      </w:r>
    </w:p>
    <w:p w:rsidR="007062E8" w:rsidRDefault="007062E8" w:rsidP="00EF1C35">
      <w:pPr>
        <w:jc w:val="both"/>
        <w:rPr>
          <w:rFonts w:asciiTheme="minorHAnsi" w:hAnsiTheme="minorHAnsi" w:cstheme="minorHAnsi"/>
          <w:sz w:val="24"/>
          <w:szCs w:val="24"/>
        </w:rPr>
      </w:pPr>
    </w:p>
    <w:p w:rsidR="003A7838" w:rsidRDefault="004C11CB" w:rsidP="003A7838">
      <w:pPr>
        <w:jc w:val="both"/>
        <w:rPr>
          <w:rFonts w:asciiTheme="minorHAnsi" w:hAnsiTheme="minorHAnsi" w:cstheme="minorHAnsi"/>
          <w:sz w:val="24"/>
          <w:szCs w:val="24"/>
        </w:rPr>
      </w:pPr>
      <w:r>
        <w:rPr>
          <w:rFonts w:asciiTheme="minorHAnsi" w:hAnsiTheme="minorHAnsi" w:cstheme="minorHAnsi"/>
          <w:sz w:val="24"/>
          <w:szCs w:val="24"/>
        </w:rPr>
        <w:t xml:space="preserve">Un altro importante progetto riguarda il comparto crocieristico, </w:t>
      </w:r>
      <w:r w:rsidR="00244B3F">
        <w:rPr>
          <w:rFonts w:asciiTheme="minorHAnsi" w:hAnsiTheme="minorHAnsi" w:cstheme="minorHAnsi"/>
          <w:sz w:val="24"/>
          <w:szCs w:val="24"/>
        </w:rPr>
        <w:t>a</w:t>
      </w:r>
      <w:r>
        <w:rPr>
          <w:rFonts w:asciiTheme="minorHAnsi" w:hAnsiTheme="minorHAnsi" w:cstheme="minorHAnsi"/>
          <w:sz w:val="24"/>
          <w:szCs w:val="24"/>
        </w:rPr>
        <w:t xml:space="preserve">d Aprile del 2021 è stato presentato il bando di gara per </w:t>
      </w:r>
      <w:r w:rsidRPr="004C11CB">
        <w:rPr>
          <w:rFonts w:asciiTheme="minorHAnsi" w:hAnsiTheme="minorHAnsi" w:cstheme="minorHAnsi"/>
          <w:sz w:val="24"/>
          <w:szCs w:val="24"/>
        </w:rPr>
        <w:t>la “Concessione del servizio di assistenza passeggeri e di Stazione Marittima nel porto di Ravenna”.</w:t>
      </w:r>
      <w:r>
        <w:rPr>
          <w:rFonts w:asciiTheme="minorHAnsi" w:hAnsiTheme="minorHAnsi" w:cstheme="minorHAnsi"/>
          <w:sz w:val="24"/>
          <w:szCs w:val="24"/>
        </w:rPr>
        <w:t xml:space="preserve"> </w:t>
      </w:r>
      <w:r w:rsidRPr="004C11CB">
        <w:rPr>
          <w:rFonts w:asciiTheme="minorHAnsi" w:hAnsiTheme="minorHAnsi" w:cstheme="minorHAnsi"/>
          <w:sz w:val="24"/>
          <w:szCs w:val="24"/>
        </w:rPr>
        <w:t xml:space="preserve">A regime il nuovo Terminal accoglierà circa 300.000 passeggeri l’anno, la grande parte in 'home port' cioè con Ravenna quale porto di inizio/fine crociera - con tutto ciò che questo può significare in termini di opportunità per il territorio in relazione a soggiorni </w:t>
      </w:r>
      <w:proofErr w:type="spellStart"/>
      <w:r w:rsidRPr="004C11CB">
        <w:rPr>
          <w:rFonts w:asciiTheme="minorHAnsi" w:hAnsiTheme="minorHAnsi" w:cstheme="minorHAnsi"/>
          <w:sz w:val="24"/>
          <w:szCs w:val="24"/>
        </w:rPr>
        <w:t>pre</w:t>
      </w:r>
      <w:proofErr w:type="spellEnd"/>
      <w:r w:rsidRPr="004C11CB">
        <w:rPr>
          <w:rFonts w:asciiTheme="minorHAnsi" w:hAnsiTheme="minorHAnsi" w:cstheme="minorHAnsi"/>
          <w:sz w:val="24"/>
          <w:szCs w:val="24"/>
        </w:rPr>
        <w:t xml:space="preserve"> e post crociera</w:t>
      </w:r>
      <w:r>
        <w:rPr>
          <w:rFonts w:asciiTheme="minorHAnsi" w:hAnsiTheme="minorHAnsi" w:cstheme="minorHAnsi"/>
          <w:sz w:val="24"/>
          <w:szCs w:val="24"/>
        </w:rPr>
        <w:t>.</w:t>
      </w:r>
      <w:r w:rsidR="003A7838">
        <w:rPr>
          <w:rFonts w:asciiTheme="minorHAnsi" w:hAnsiTheme="minorHAnsi" w:cstheme="minorHAnsi"/>
          <w:sz w:val="24"/>
          <w:szCs w:val="24"/>
        </w:rPr>
        <w:t xml:space="preserve"> </w:t>
      </w:r>
    </w:p>
    <w:p w:rsidR="00EF1C35" w:rsidRDefault="003A7838" w:rsidP="003A7838">
      <w:pPr>
        <w:jc w:val="both"/>
        <w:rPr>
          <w:rFonts w:asciiTheme="minorHAnsi" w:hAnsiTheme="minorHAnsi" w:cstheme="minorHAnsi"/>
          <w:sz w:val="24"/>
          <w:szCs w:val="24"/>
        </w:rPr>
      </w:pPr>
      <w:r w:rsidRPr="003A7838">
        <w:rPr>
          <w:rFonts w:asciiTheme="minorHAnsi" w:hAnsiTheme="minorHAnsi" w:cstheme="minorHAnsi"/>
          <w:sz w:val="24"/>
          <w:szCs w:val="24"/>
        </w:rPr>
        <w:t xml:space="preserve">Per la nuova Stazione Marittima è previsto un investimento da 26 milioni di euro: 20 milioni da parte di Royal Caribbean Group e 6 da parte dell'Autorità di Sistema portuale di Ravenna. L’investimento sarà realizzato in project </w:t>
      </w:r>
      <w:proofErr w:type="spellStart"/>
      <w:r w:rsidRPr="003A7838">
        <w:rPr>
          <w:rFonts w:asciiTheme="minorHAnsi" w:hAnsiTheme="minorHAnsi" w:cstheme="minorHAnsi"/>
          <w:sz w:val="24"/>
          <w:szCs w:val="24"/>
        </w:rPr>
        <w:t>financing</w:t>
      </w:r>
      <w:proofErr w:type="spellEnd"/>
      <w:r w:rsidRPr="003A7838">
        <w:rPr>
          <w:rFonts w:asciiTheme="minorHAnsi" w:hAnsiTheme="minorHAnsi" w:cstheme="minorHAnsi"/>
          <w:sz w:val="24"/>
          <w:szCs w:val="24"/>
        </w:rPr>
        <w:t xml:space="preserve"> (partenariato pubblico privato) e prevede l’ottenimento della concessione per 35 anni per la gestione del servizio di imbarco/sbarco e il transito dei passeggeri nel porto di Ravenna, insieme alla costruzione di un nuovo Terminal Crociere. Il valore complessivo della concessione per i 35 anni è pari a 221 milioni di euro.</w:t>
      </w:r>
    </w:p>
    <w:p w:rsidR="00A60B99" w:rsidRDefault="00A60B99" w:rsidP="003A7838">
      <w:pPr>
        <w:jc w:val="both"/>
        <w:rPr>
          <w:rFonts w:asciiTheme="minorHAnsi" w:hAnsiTheme="minorHAnsi" w:cstheme="minorHAnsi"/>
          <w:b/>
          <w:sz w:val="28"/>
          <w:szCs w:val="28"/>
        </w:rPr>
      </w:pPr>
    </w:p>
    <w:p w:rsidR="008026A6" w:rsidRPr="000B3273" w:rsidRDefault="00197312">
      <w:pPr>
        <w:rPr>
          <w:rFonts w:asciiTheme="minorHAnsi" w:hAnsiTheme="minorHAnsi" w:cstheme="minorHAnsi"/>
          <w:b/>
          <w:sz w:val="28"/>
          <w:szCs w:val="28"/>
        </w:rPr>
      </w:pPr>
      <w:r w:rsidRPr="000B3273">
        <w:rPr>
          <w:rFonts w:asciiTheme="minorHAnsi" w:hAnsiTheme="minorHAnsi" w:cstheme="minorHAnsi"/>
          <w:b/>
          <w:sz w:val="28"/>
          <w:szCs w:val="28"/>
        </w:rPr>
        <w:t>L’economia marittima dell’Emilia-Romagna e il ruolo del porto di Ravenna</w:t>
      </w:r>
    </w:p>
    <w:p w:rsidR="00197312" w:rsidRDefault="00197312">
      <w:pPr>
        <w:rPr>
          <w:b/>
          <w:sz w:val="24"/>
          <w:szCs w:val="24"/>
        </w:rPr>
      </w:pPr>
    </w:p>
    <w:p w:rsidR="007E69C7" w:rsidRDefault="00197312" w:rsidP="00D765E7">
      <w:pPr>
        <w:jc w:val="both"/>
        <w:rPr>
          <w:sz w:val="24"/>
          <w:szCs w:val="24"/>
        </w:rPr>
      </w:pPr>
      <w:r w:rsidRPr="00197312">
        <w:rPr>
          <w:sz w:val="24"/>
          <w:szCs w:val="24"/>
        </w:rPr>
        <w:t xml:space="preserve">Al 2020 </w:t>
      </w:r>
      <w:bookmarkStart w:id="0" w:name="_Hlk77241115"/>
      <w:r>
        <w:rPr>
          <w:sz w:val="24"/>
          <w:szCs w:val="24"/>
        </w:rPr>
        <w:t xml:space="preserve">il commercio marittimo dell’Emilia-Romagna </w:t>
      </w:r>
      <w:r w:rsidR="006266D9">
        <w:rPr>
          <w:sz w:val="24"/>
          <w:szCs w:val="24"/>
        </w:rPr>
        <w:t>ha superato i</w:t>
      </w:r>
      <w:r>
        <w:rPr>
          <w:sz w:val="24"/>
          <w:szCs w:val="24"/>
        </w:rPr>
        <w:t xml:space="preserve"> 26 miliardi di euro pari al 37% del totale</w:t>
      </w:r>
      <w:r>
        <w:rPr>
          <w:rStyle w:val="Rimandonotaapidipagina"/>
          <w:sz w:val="24"/>
          <w:szCs w:val="24"/>
        </w:rPr>
        <w:footnoteReference w:id="1"/>
      </w:r>
      <w:r>
        <w:rPr>
          <w:sz w:val="24"/>
          <w:szCs w:val="24"/>
        </w:rPr>
        <w:t xml:space="preserve"> </w:t>
      </w:r>
      <w:r w:rsidR="00D765E7">
        <w:rPr>
          <w:sz w:val="24"/>
          <w:szCs w:val="24"/>
        </w:rPr>
        <w:t xml:space="preserve">di cui 9 </w:t>
      </w:r>
      <w:proofErr w:type="spellStart"/>
      <w:r w:rsidR="00D765E7">
        <w:rPr>
          <w:sz w:val="24"/>
          <w:szCs w:val="24"/>
        </w:rPr>
        <w:t>mld</w:t>
      </w:r>
      <w:proofErr w:type="spellEnd"/>
      <w:r w:rsidR="00D765E7">
        <w:rPr>
          <w:sz w:val="24"/>
          <w:szCs w:val="24"/>
        </w:rPr>
        <w:t xml:space="preserve"> in import e 17,1mld in export</w:t>
      </w:r>
      <w:r>
        <w:rPr>
          <w:sz w:val="24"/>
          <w:szCs w:val="24"/>
        </w:rPr>
        <w:t xml:space="preserve"> </w:t>
      </w:r>
      <w:bookmarkEnd w:id="0"/>
      <w:r w:rsidR="00D765E7">
        <w:rPr>
          <w:sz w:val="24"/>
          <w:szCs w:val="24"/>
        </w:rPr>
        <w:t xml:space="preserve">e, dunque, con una bilancia commerciale ancora positiva nonostante il </w:t>
      </w:r>
      <w:proofErr w:type="spellStart"/>
      <w:r w:rsidR="00D765E7">
        <w:rPr>
          <w:sz w:val="24"/>
          <w:szCs w:val="24"/>
        </w:rPr>
        <w:t>Covid</w:t>
      </w:r>
      <w:proofErr w:type="spellEnd"/>
      <w:r w:rsidR="00D765E7">
        <w:rPr>
          <w:sz w:val="24"/>
          <w:szCs w:val="24"/>
        </w:rPr>
        <w:t xml:space="preserve">. </w:t>
      </w:r>
    </w:p>
    <w:p w:rsidR="007E69C7" w:rsidRDefault="007E69C7" w:rsidP="00D765E7">
      <w:pPr>
        <w:jc w:val="both"/>
        <w:rPr>
          <w:sz w:val="24"/>
          <w:szCs w:val="24"/>
        </w:rPr>
      </w:pPr>
    </w:p>
    <w:p w:rsidR="007E69C7" w:rsidRPr="009A071A" w:rsidRDefault="007E69C7" w:rsidP="007E69C7">
      <w:pPr>
        <w:autoSpaceDE w:val="0"/>
        <w:autoSpaceDN w:val="0"/>
        <w:adjustRightInd w:val="0"/>
        <w:jc w:val="both"/>
        <w:rPr>
          <w:sz w:val="24"/>
          <w:szCs w:val="24"/>
        </w:rPr>
      </w:pPr>
      <w:r>
        <w:rPr>
          <w:sz w:val="24"/>
          <w:szCs w:val="24"/>
        </w:rPr>
        <w:lastRenderedPageBreak/>
        <w:t>Modalità di trasporto dell’import-export dell’Emilia-Romagna – dati in miliardi euro e % anno 2020</w:t>
      </w:r>
    </w:p>
    <w:p w:rsidR="007E69C7" w:rsidRDefault="007E69C7" w:rsidP="00D765E7">
      <w:pPr>
        <w:jc w:val="both"/>
        <w:rPr>
          <w:sz w:val="24"/>
          <w:szCs w:val="24"/>
        </w:rPr>
      </w:pPr>
    </w:p>
    <w:p w:rsidR="007E69C7" w:rsidRDefault="007E69C7" w:rsidP="00D765E7">
      <w:pPr>
        <w:jc w:val="both"/>
        <w:rPr>
          <w:sz w:val="24"/>
          <w:szCs w:val="24"/>
        </w:rPr>
      </w:pPr>
      <w:r>
        <w:rPr>
          <w:noProof/>
          <w:sz w:val="24"/>
          <w:szCs w:val="24"/>
        </w:rPr>
        <w:drawing>
          <wp:inline distT="0" distB="0" distL="0" distR="0" wp14:anchorId="09E4E166">
            <wp:extent cx="4578350" cy="282892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8350" cy="2828925"/>
                    </a:xfrm>
                    <a:prstGeom prst="rect">
                      <a:avLst/>
                    </a:prstGeom>
                    <a:noFill/>
                  </pic:spPr>
                </pic:pic>
              </a:graphicData>
            </a:graphic>
          </wp:inline>
        </w:drawing>
      </w:r>
    </w:p>
    <w:p w:rsidR="007E69C7" w:rsidRDefault="007E69C7" w:rsidP="005C3A74">
      <w:pPr>
        <w:rPr>
          <w:sz w:val="20"/>
          <w:szCs w:val="20"/>
        </w:rPr>
      </w:pPr>
      <w:r>
        <w:rPr>
          <w:sz w:val="20"/>
          <w:szCs w:val="20"/>
        </w:rPr>
        <w:t xml:space="preserve">Figura 1 - </w:t>
      </w:r>
      <w:r w:rsidRPr="00974687">
        <w:rPr>
          <w:sz w:val="20"/>
          <w:szCs w:val="20"/>
        </w:rPr>
        <w:t xml:space="preserve">Fonte: SRM su </w:t>
      </w:r>
      <w:r w:rsidR="005C3A74">
        <w:rPr>
          <w:sz w:val="20"/>
          <w:szCs w:val="20"/>
        </w:rPr>
        <w:t>ISTAT-</w:t>
      </w:r>
      <w:proofErr w:type="spellStart"/>
      <w:r w:rsidR="005C3A74">
        <w:rPr>
          <w:sz w:val="20"/>
          <w:szCs w:val="20"/>
        </w:rPr>
        <w:t>Coeweb</w:t>
      </w:r>
      <w:proofErr w:type="spellEnd"/>
    </w:p>
    <w:p w:rsidR="005C3A74" w:rsidRDefault="005C3A74" w:rsidP="005C3A74">
      <w:pPr>
        <w:rPr>
          <w:sz w:val="24"/>
          <w:szCs w:val="24"/>
        </w:rPr>
      </w:pPr>
    </w:p>
    <w:p w:rsidR="00D765E7" w:rsidRDefault="00D765E7" w:rsidP="00D765E7">
      <w:pPr>
        <w:jc w:val="both"/>
        <w:rPr>
          <w:sz w:val="24"/>
          <w:szCs w:val="24"/>
        </w:rPr>
      </w:pPr>
      <w:r>
        <w:rPr>
          <w:sz w:val="24"/>
          <w:szCs w:val="24"/>
        </w:rPr>
        <w:t xml:space="preserve">Nell’ultimo anno, però, la pandemia ha avuto effetti sull’economia marittima dell’area causandone una riduzione </w:t>
      </w:r>
      <w:r w:rsidR="006266D9">
        <w:rPr>
          <w:sz w:val="24"/>
          <w:szCs w:val="24"/>
        </w:rPr>
        <w:t xml:space="preserve">nei traffici </w:t>
      </w:r>
      <w:r>
        <w:rPr>
          <w:sz w:val="24"/>
          <w:szCs w:val="24"/>
        </w:rPr>
        <w:t>pari al</w:t>
      </w:r>
      <w:r w:rsidR="007062E8">
        <w:rPr>
          <w:sz w:val="24"/>
          <w:szCs w:val="24"/>
        </w:rPr>
        <w:t xml:space="preserve"> </w:t>
      </w:r>
      <w:r w:rsidR="004A7EDE">
        <w:rPr>
          <w:sz w:val="24"/>
          <w:szCs w:val="24"/>
        </w:rPr>
        <w:t>-</w:t>
      </w:r>
      <w:r>
        <w:rPr>
          <w:sz w:val="24"/>
          <w:szCs w:val="24"/>
        </w:rPr>
        <w:t>11,5%</w:t>
      </w:r>
      <w:r w:rsidR="00A204D5">
        <w:rPr>
          <w:sz w:val="24"/>
          <w:szCs w:val="24"/>
        </w:rPr>
        <w:t xml:space="preserve"> inferiore al calo Italiano del marittimo pari al -17%</w:t>
      </w:r>
      <w:r>
        <w:rPr>
          <w:sz w:val="24"/>
          <w:szCs w:val="24"/>
        </w:rPr>
        <w:t xml:space="preserve">. </w:t>
      </w:r>
      <w:r w:rsidR="008F01D8">
        <w:rPr>
          <w:sz w:val="24"/>
          <w:szCs w:val="24"/>
        </w:rPr>
        <w:t>La contrazione</w:t>
      </w:r>
      <w:r w:rsidR="00CB0B40">
        <w:rPr>
          <w:sz w:val="24"/>
          <w:szCs w:val="24"/>
        </w:rPr>
        <w:t xml:space="preserve"> dell’ultimo anno ha riguardato soprattutto l’impo</w:t>
      </w:r>
      <w:r w:rsidR="007471D3">
        <w:rPr>
          <w:sz w:val="24"/>
          <w:szCs w:val="24"/>
        </w:rPr>
        <w:t>rt (-18%) che si attesta a valori inferiori al 2016 mentre l’export pur contraendosi (-8%) resta su valori inferiori solo al 2019.</w:t>
      </w:r>
    </w:p>
    <w:p w:rsidR="00D765E7" w:rsidRDefault="007471D3" w:rsidP="00D765E7">
      <w:pPr>
        <w:jc w:val="both"/>
        <w:rPr>
          <w:sz w:val="24"/>
          <w:szCs w:val="24"/>
        </w:rPr>
      </w:pPr>
      <w:r>
        <w:rPr>
          <w:sz w:val="24"/>
          <w:szCs w:val="24"/>
        </w:rPr>
        <w:t>Nel complesso s</w:t>
      </w:r>
      <w:r w:rsidR="008F01D8">
        <w:rPr>
          <w:sz w:val="24"/>
          <w:szCs w:val="24"/>
        </w:rPr>
        <w:t>i tratta però del primo calo del quinquennio. Difatti, s</w:t>
      </w:r>
      <w:r w:rsidR="004A7EDE">
        <w:rPr>
          <w:sz w:val="24"/>
          <w:szCs w:val="24"/>
        </w:rPr>
        <w:t>e consideriamo il trend 20</w:t>
      </w:r>
      <w:r w:rsidR="00C122FA">
        <w:rPr>
          <w:sz w:val="24"/>
          <w:szCs w:val="24"/>
        </w:rPr>
        <w:t>1</w:t>
      </w:r>
      <w:r w:rsidR="004A7EDE">
        <w:rPr>
          <w:sz w:val="24"/>
          <w:szCs w:val="24"/>
        </w:rPr>
        <w:t>6-2020, la contrazione dell’ultimo anno non ha eroso i buoni margini del periodo precedente permettendo di chiudere il periodo</w:t>
      </w:r>
      <w:r w:rsidR="006266D9">
        <w:rPr>
          <w:sz w:val="24"/>
          <w:szCs w:val="24"/>
        </w:rPr>
        <w:t xml:space="preserve"> </w:t>
      </w:r>
      <w:r w:rsidR="004A7EDE">
        <w:rPr>
          <w:sz w:val="24"/>
          <w:szCs w:val="24"/>
        </w:rPr>
        <w:t>2016-2020 con un segno positivo (+6,3% sul 2016).</w:t>
      </w:r>
    </w:p>
    <w:p w:rsidR="00D765E7" w:rsidRDefault="00D765E7">
      <w:pPr>
        <w:rPr>
          <w:sz w:val="24"/>
          <w:szCs w:val="24"/>
        </w:rPr>
      </w:pPr>
    </w:p>
    <w:p w:rsidR="00D765E7" w:rsidRDefault="002B7744">
      <w:pPr>
        <w:rPr>
          <w:sz w:val="24"/>
          <w:szCs w:val="24"/>
        </w:rPr>
      </w:pPr>
      <w:r>
        <w:rPr>
          <w:noProof/>
          <w:sz w:val="24"/>
          <w:szCs w:val="24"/>
        </w:rPr>
        <w:drawing>
          <wp:inline distT="0" distB="0" distL="0" distR="0" wp14:anchorId="4CCA7DCB">
            <wp:extent cx="4584700" cy="2755900"/>
            <wp:effectExtent l="0" t="0" r="635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4A7EDE" w:rsidRDefault="009A071A">
      <w:pPr>
        <w:rPr>
          <w:sz w:val="18"/>
          <w:szCs w:val="18"/>
        </w:rPr>
      </w:pPr>
      <w:r>
        <w:rPr>
          <w:sz w:val="18"/>
          <w:szCs w:val="18"/>
        </w:rPr>
        <w:t xml:space="preserve">Graf. 1 - </w:t>
      </w:r>
      <w:r w:rsidR="000B3273" w:rsidRPr="000B3273">
        <w:rPr>
          <w:sz w:val="18"/>
          <w:szCs w:val="18"/>
        </w:rPr>
        <w:t xml:space="preserve">Fonte: SRM su </w:t>
      </w:r>
      <w:proofErr w:type="spellStart"/>
      <w:r w:rsidR="000B3273" w:rsidRPr="000B3273">
        <w:rPr>
          <w:sz w:val="18"/>
          <w:szCs w:val="18"/>
        </w:rPr>
        <w:t>Coeweb</w:t>
      </w:r>
      <w:proofErr w:type="spellEnd"/>
    </w:p>
    <w:p w:rsidR="009A071A" w:rsidRDefault="009A071A">
      <w:pPr>
        <w:rPr>
          <w:sz w:val="18"/>
          <w:szCs w:val="18"/>
        </w:rPr>
      </w:pPr>
    </w:p>
    <w:p w:rsidR="00845D58" w:rsidRPr="00845D58" w:rsidRDefault="00845D58" w:rsidP="00845D58">
      <w:pPr>
        <w:autoSpaceDE w:val="0"/>
        <w:autoSpaceDN w:val="0"/>
        <w:adjustRightInd w:val="0"/>
        <w:jc w:val="both"/>
        <w:rPr>
          <w:sz w:val="24"/>
          <w:szCs w:val="24"/>
        </w:rPr>
      </w:pPr>
      <w:r w:rsidRPr="00845D58">
        <w:rPr>
          <w:sz w:val="24"/>
          <w:szCs w:val="24"/>
        </w:rPr>
        <w:t xml:space="preserve">L’import export </w:t>
      </w:r>
      <w:r w:rsidR="00392152">
        <w:rPr>
          <w:sz w:val="24"/>
          <w:szCs w:val="24"/>
        </w:rPr>
        <w:t xml:space="preserve">marittimo </w:t>
      </w:r>
      <w:r w:rsidR="00172468" w:rsidRPr="00845D58">
        <w:rPr>
          <w:sz w:val="24"/>
          <w:szCs w:val="24"/>
        </w:rPr>
        <w:t>dell’E</w:t>
      </w:r>
      <w:r w:rsidR="00172468">
        <w:rPr>
          <w:sz w:val="24"/>
          <w:szCs w:val="24"/>
        </w:rPr>
        <w:t>milia-Romagna</w:t>
      </w:r>
      <w:r w:rsidRPr="00845D58">
        <w:rPr>
          <w:sz w:val="24"/>
          <w:szCs w:val="24"/>
        </w:rPr>
        <w:t xml:space="preserve"> nel </w:t>
      </w:r>
      <w:r w:rsidR="00392152">
        <w:rPr>
          <w:sz w:val="24"/>
          <w:szCs w:val="24"/>
        </w:rPr>
        <w:t>primo</w:t>
      </w:r>
      <w:r w:rsidRPr="00845D58">
        <w:rPr>
          <w:sz w:val="24"/>
          <w:szCs w:val="24"/>
        </w:rPr>
        <w:t xml:space="preserve"> trim</w:t>
      </w:r>
      <w:r w:rsidR="00392152">
        <w:rPr>
          <w:sz w:val="24"/>
          <w:szCs w:val="24"/>
        </w:rPr>
        <w:t>estre del 2021</w:t>
      </w:r>
      <w:r w:rsidRPr="00845D58">
        <w:rPr>
          <w:sz w:val="24"/>
          <w:szCs w:val="24"/>
        </w:rPr>
        <w:t xml:space="preserve"> cresce del 10,5% attestandosi a 7,4 </w:t>
      </w:r>
      <w:proofErr w:type="spellStart"/>
      <w:r w:rsidRPr="00845D58">
        <w:rPr>
          <w:sz w:val="24"/>
          <w:szCs w:val="24"/>
        </w:rPr>
        <w:t>mld</w:t>
      </w:r>
      <w:proofErr w:type="spellEnd"/>
      <w:r w:rsidRPr="00845D58">
        <w:rPr>
          <w:sz w:val="24"/>
          <w:szCs w:val="24"/>
        </w:rPr>
        <w:t xml:space="preserve"> di euro (2,7mld in import e 4,7 </w:t>
      </w:r>
      <w:proofErr w:type="spellStart"/>
      <w:r w:rsidRPr="00845D58">
        <w:rPr>
          <w:sz w:val="24"/>
          <w:szCs w:val="24"/>
        </w:rPr>
        <w:t>mld</w:t>
      </w:r>
      <w:proofErr w:type="spellEnd"/>
      <w:r w:rsidRPr="00845D58">
        <w:rPr>
          <w:sz w:val="24"/>
          <w:szCs w:val="24"/>
        </w:rPr>
        <w:t xml:space="preserve"> in export con, dunque, una bilancia commerciale </w:t>
      </w:r>
      <w:r w:rsidR="00282ABD">
        <w:rPr>
          <w:sz w:val="24"/>
          <w:szCs w:val="24"/>
        </w:rPr>
        <w:t xml:space="preserve">ancora </w:t>
      </w:r>
      <w:r w:rsidRPr="00845D58">
        <w:rPr>
          <w:sz w:val="24"/>
          <w:szCs w:val="24"/>
        </w:rPr>
        <w:t>positiva)</w:t>
      </w:r>
      <w:r w:rsidR="00392152">
        <w:rPr>
          <w:sz w:val="24"/>
          <w:szCs w:val="24"/>
        </w:rPr>
        <w:t>.</w:t>
      </w:r>
    </w:p>
    <w:p w:rsidR="007062E8" w:rsidRDefault="009A071A" w:rsidP="00DB754A">
      <w:pPr>
        <w:autoSpaceDE w:val="0"/>
        <w:autoSpaceDN w:val="0"/>
        <w:adjustRightInd w:val="0"/>
        <w:jc w:val="both"/>
        <w:rPr>
          <w:sz w:val="24"/>
          <w:szCs w:val="24"/>
        </w:rPr>
      </w:pPr>
      <w:r w:rsidRPr="009A071A">
        <w:rPr>
          <w:sz w:val="24"/>
          <w:szCs w:val="24"/>
        </w:rPr>
        <w:lastRenderedPageBreak/>
        <w:t>Regione</w:t>
      </w:r>
      <w:r>
        <w:rPr>
          <w:sz w:val="24"/>
          <w:szCs w:val="24"/>
        </w:rPr>
        <w:t xml:space="preserve"> molto vasta</w:t>
      </w:r>
      <w:r w:rsidRPr="009A071A">
        <w:rPr>
          <w:sz w:val="24"/>
          <w:szCs w:val="24"/>
        </w:rPr>
        <w:t xml:space="preserve"> posta al centro del nord Italia</w:t>
      </w:r>
      <w:r w:rsidR="006266D9">
        <w:rPr>
          <w:sz w:val="24"/>
          <w:szCs w:val="24"/>
        </w:rPr>
        <w:t xml:space="preserve"> l’Emilia-Romagna</w:t>
      </w:r>
      <w:r w:rsidRPr="009A071A">
        <w:rPr>
          <w:sz w:val="24"/>
          <w:szCs w:val="24"/>
        </w:rPr>
        <w:t xml:space="preserve"> </w:t>
      </w:r>
      <w:r>
        <w:rPr>
          <w:sz w:val="24"/>
          <w:szCs w:val="24"/>
        </w:rPr>
        <w:t>vanta</w:t>
      </w:r>
      <w:r w:rsidR="00375EEA">
        <w:rPr>
          <w:sz w:val="24"/>
          <w:szCs w:val="24"/>
        </w:rPr>
        <w:t xml:space="preserve">, proprio per la sua </w:t>
      </w:r>
      <w:r w:rsidR="00FB42B5">
        <w:rPr>
          <w:sz w:val="24"/>
          <w:szCs w:val="24"/>
        </w:rPr>
        <w:t xml:space="preserve">posizione, </w:t>
      </w:r>
      <w:r>
        <w:rPr>
          <w:sz w:val="24"/>
          <w:szCs w:val="24"/>
        </w:rPr>
        <w:t xml:space="preserve">la peculiarità di commerciare con l’est e l’ovest del Mondo. </w:t>
      </w:r>
      <w:r w:rsidRPr="00FB42B5">
        <w:rPr>
          <w:sz w:val="24"/>
          <w:szCs w:val="24"/>
        </w:rPr>
        <w:t xml:space="preserve">Si tratta, difatti, di un’area molto </w:t>
      </w:r>
      <w:r w:rsidR="00C122FA">
        <w:rPr>
          <w:sz w:val="24"/>
          <w:szCs w:val="24"/>
        </w:rPr>
        <w:t>ampia</w:t>
      </w:r>
      <w:r w:rsidRPr="00FB42B5">
        <w:rPr>
          <w:sz w:val="24"/>
          <w:szCs w:val="24"/>
        </w:rPr>
        <w:t xml:space="preserve"> con un porto di riferimento regionale qual è Ravenna posizionato ad Est</w:t>
      </w:r>
      <w:r w:rsidR="000F6729">
        <w:rPr>
          <w:sz w:val="24"/>
          <w:szCs w:val="24"/>
        </w:rPr>
        <w:t>,</w:t>
      </w:r>
      <w:r w:rsidRPr="00FB42B5">
        <w:rPr>
          <w:sz w:val="24"/>
          <w:szCs w:val="24"/>
        </w:rPr>
        <w:t xml:space="preserve"> ma con l’esigenza di</w:t>
      </w:r>
      <w:r w:rsidR="000E270C">
        <w:rPr>
          <w:sz w:val="24"/>
          <w:szCs w:val="24"/>
        </w:rPr>
        <w:t xml:space="preserve"> </w:t>
      </w:r>
      <w:r w:rsidR="00ED1F12">
        <w:rPr>
          <w:sz w:val="24"/>
          <w:szCs w:val="24"/>
        </w:rPr>
        <w:t>commerciare anche con</w:t>
      </w:r>
      <w:r w:rsidR="000E270C">
        <w:rPr>
          <w:sz w:val="24"/>
          <w:szCs w:val="24"/>
        </w:rPr>
        <w:t xml:space="preserve"> mercati occidentali nonché di</w:t>
      </w:r>
      <w:r w:rsidRPr="00FB42B5">
        <w:rPr>
          <w:sz w:val="24"/>
          <w:szCs w:val="24"/>
        </w:rPr>
        <w:t xml:space="preserve"> servire le province più </w:t>
      </w:r>
      <w:r w:rsidR="000E270C">
        <w:rPr>
          <w:sz w:val="24"/>
          <w:szCs w:val="24"/>
        </w:rPr>
        <w:t xml:space="preserve">lontane </w:t>
      </w:r>
      <w:r w:rsidRPr="00FB42B5">
        <w:rPr>
          <w:sz w:val="24"/>
          <w:szCs w:val="24"/>
        </w:rPr>
        <w:t>quali Piacenza e Parma.</w:t>
      </w:r>
    </w:p>
    <w:p w:rsidR="007062E8" w:rsidRDefault="007062E8" w:rsidP="00DB754A">
      <w:pPr>
        <w:autoSpaceDE w:val="0"/>
        <w:autoSpaceDN w:val="0"/>
        <w:adjustRightInd w:val="0"/>
        <w:jc w:val="both"/>
        <w:rPr>
          <w:sz w:val="24"/>
          <w:szCs w:val="24"/>
        </w:rPr>
      </w:pPr>
    </w:p>
    <w:p w:rsidR="009A071A" w:rsidRDefault="000E270C" w:rsidP="00DB754A">
      <w:pPr>
        <w:autoSpaceDE w:val="0"/>
        <w:autoSpaceDN w:val="0"/>
        <w:adjustRightInd w:val="0"/>
        <w:jc w:val="both"/>
        <w:rPr>
          <w:sz w:val="24"/>
          <w:szCs w:val="24"/>
        </w:rPr>
      </w:pPr>
      <w:r>
        <w:rPr>
          <w:sz w:val="24"/>
          <w:szCs w:val="24"/>
        </w:rPr>
        <w:t xml:space="preserve">L’Emilia-Romagna importa prevalentemente dai territori dell’asia Orientale da dove nel 2020 ha ricevuto via mare beni per circa </w:t>
      </w:r>
      <w:r w:rsidR="00ED1F12">
        <w:rPr>
          <w:sz w:val="24"/>
          <w:szCs w:val="24"/>
        </w:rPr>
        <w:t xml:space="preserve">il 40% del totale importato per un valore di </w:t>
      </w:r>
      <w:r>
        <w:rPr>
          <w:sz w:val="24"/>
          <w:szCs w:val="24"/>
        </w:rPr>
        <w:t xml:space="preserve">3,7 </w:t>
      </w:r>
      <w:proofErr w:type="spellStart"/>
      <w:r>
        <w:rPr>
          <w:sz w:val="24"/>
          <w:szCs w:val="24"/>
        </w:rPr>
        <w:t>mld</w:t>
      </w:r>
      <w:proofErr w:type="spellEnd"/>
      <w:r>
        <w:rPr>
          <w:sz w:val="24"/>
          <w:szCs w:val="24"/>
        </w:rPr>
        <w:t xml:space="preserve">, dai Paesi europei non UE (1,3 </w:t>
      </w:r>
      <w:proofErr w:type="spellStart"/>
      <w:r>
        <w:rPr>
          <w:sz w:val="24"/>
          <w:szCs w:val="24"/>
        </w:rPr>
        <w:t>mld</w:t>
      </w:r>
      <w:proofErr w:type="spellEnd"/>
      <w:r w:rsidR="00ED1F12">
        <w:rPr>
          <w:sz w:val="24"/>
          <w:szCs w:val="24"/>
        </w:rPr>
        <w:t xml:space="preserve"> pari al 14%</w:t>
      </w:r>
      <w:r>
        <w:rPr>
          <w:sz w:val="24"/>
          <w:szCs w:val="24"/>
        </w:rPr>
        <w:t xml:space="preserve">), dall’America centro meridionale (1,1 </w:t>
      </w:r>
      <w:proofErr w:type="spellStart"/>
      <w:r>
        <w:rPr>
          <w:sz w:val="24"/>
          <w:szCs w:val="24"/>
        </w:rPr>
        <w:t>mld</w:t>
      </w:r>
      <w:proofErr w:type="spellEnd"/>
      <w:r w:rsidR="00ED1F12">
        <w:rPr>
          <w:sz w:val="24"/>
          <w:szCs w:val="24"/>
        </w:rPr>
        <w:t xml:space="preserve"> pari al 12%</w:t>
      </w:r>
      <w:r>
        <w:rPr>
          <w:sz w:val="24"/>
          <w:szCs w:val="24"/>
        </w:rPr>
        <w:t>)</w:t>
      </w:r>
      <w:r w:rsidR="00ED1F12">
        <w:rPr>
          <w:sz w:val="24"/>
          <w:szCs w:val="24"/>
        </w:rPr>
        <w:t>, dall’UE27 (945 milioni pari all’11%)</w:t>
      </w:r>
      <w:r>
        <w:rPr>
          <w:sz w:val="24"/>
          <w:szCs w:val="24"/>
        </w:rPr>
        <w:t xml:space="preserve">. </w:t>
      </w:r>
      <w:r w:rsidR="00ED1F12">
        <w:rPr>
          <w:sz w:val="24"/>
          <w:szCs w:val="24"/>
        </w:rPr>
        <w:t>Le esportazioni</w:t>
      </w:r>
      <w:r w:rsidR="006266D9">
        <w:rPr>
          <w:sz w:val="24"/>
          <w:szCs w:val="24"/>
        </w:rPr>
        <w:t xml:space="preserve"> invece</w:t>
      </w:r>
      <w:r w:rsidR="00ED1F12">
        <w:rPr>
          <w:sz w:val="24"/>
          <w:szCs w:val="24"/>
        </w:rPr>
        <w:t xml:space="preserve"> si sono dirette prevalentemente verso l’America Settentrionale per circa 1/3 del totale per un valore di oltre 5,2 </w:t>
      </w:r>
      <w:proofErr w:type="spellStart"/>
      <w:r w:rsidR="00ED1F12">
        <w:rPr>
          <w:sz w:val="24"/>
          <w:szCs w:val="24"/>
        </w:rPr>
        <w:t>mld</w:t>
      </w:r>
      <w:proofErr w:type="spellEnd"/>
      <w:r w:rsidR="00ED1F12">
        <w:rPr>
          <w:sz w:val="24"/>
          <w:szCs w:val="24"/>
        </w:rPr>
        <w:t xml:space="preserve">, </w:t>
      </w:r>
      <w:r w:rsidR="00536FEC">
        <w:rPr>
          <w:sz w:val="24"/>
          <w:szCs w:val="24"/>
        </w:rPr>
        <w:t xml:space="preserve">verso l’Asia Orientale per oltre 4,4 </w:t>
      </w:r>
      <w:proofErr w:type="spellStart"/>
      <w:r w:rsidR="00536FEC">
        <w:rPr>
          <w:sz w:val="24"/>
          <w:szCs w:val="24"/>
        </w:rPr>
        <w:t>mld</w:t>
      </w:r>
      <w:proofErr w:type="spellEnd"/>
      <w:r w:rsidR="00536FEC">
        <w:rPr>
          <w:sz w:val="24"/>
          <w:szCs w:val="24"/>
        </w:rPr>
        <w:t xml:space="preserve"> pari al 26% del totale, il Medio Oriente per 1,7 </w:t>
      </w:r>
      <w:proofErr w:type="spellStart"/>
      <w:r w:rsidR="00536FEC">
        <w:rPr>
          <w:sz w:val="24"/>
          <w:szCs w:val="24"/>
        </w:rPr>
        <w:t>mld</w:t>
      </w:r>
      <w:proofErr w:type="spellEnd"/>
      <w:r w:rsidR="00536FEC">
        <w:rPr>
          <w:sz w:val="24"/>
          <w:szCs w:val="24"/>
        </w:rPr>
        <w:t xml:space="preserve"> (10% del totale) e l’America centro-meridionale per 1,5 </w:t>
      </w:r>
      <w:proofErr w:type="spellStart"/>
      <w:r w:rsidR="00536FEC">
        <w:rPr>
          <w:sz w:val="24"/>
          <w:szCs w:val="24"/>
        </w:rPr>
        <w:t>mld</w:t>
      </w:r>
      <w:proofErr w:type="spellEnd"/>
      <w:r w:rsidR="00536FEC">
        <w:rPr>
          <w:sz w:val="24"/>
          <w:szCs w:val="24"/>
        </w:rPr>
        <w:t xml:space="preserve"> (9% del totale).</w:t>
      </w:r>
    </w:p>
    <w:p w:rsidR="000E270C" w:rsidRDefault="000E270C" w:rsidP="00DB754A">
      <w:pPr>
        <w:autoSpaceDE w:val="0"/>
        <w:autoSpaceDN w:val="0"/>
        <w:adjustRightInd w:val="0"/>
        <w:jc w:val="both"/>
        <w:rPr>
          <w:sz w:val="24"/>
          <w:szCs w:val="24"/>
        </w:rPr>
      </w:pPr>
    </w:p>
    <w:p w:rsidR="009A071A" w:rsidRPr="009A071A" w:rsidRDefault="00A71139" w:rsidP="000E270C">
      <w:pPr>
        <w:autoSpaceDE w:val="0"/>
        <w:autoSpaceDN w:val="0"/>
        <w:adjustRightInd w:val="0"/>
        <w:jc w:val="both"/>
        <w:rPr>
          <w:sz w:val="24"/>
          <w:szCs w:val="24"/>
        </w:rPr>
      </w:pPr>
      <w:r>
        <w:rPr>
          <w:sz w:val="24"/>
          <w:szCs w:val="24"/>
        </w:rPr>
        <w:t>Aree</w:t>
      </w:r>
      <w:r w:rsidR="006266D9">
        <w:rPr>
          <w:sz w:val="24"/>
          <w:szCs w:val="24"/>
        </w:rPr>
        <w:t xml:space="preserve"> di i</w:t>
      </w:r>
      <w:r w:rsidR="000E270C">
        <w:rPr>
          <w:sz w:val="24"/>
          <w:szCs w:val="24"/>
        </w:rPr>
        <w:t>mport-export marittimo dell’Emilia-Romagna – dati in euro</w:t>
      </w:r>
      <w:r w:rsidR="00507E14">
        <w:rPr>
          <w:sz w:val="24"/>
          <w:szCs w:val="24"/>
        </w:rPr>
        <w:t xml:space="preserve"> </w:t>
      </w:r>
      <w:r w:rsidR="00985913">
        <w:rPr>
          <w:sz w:val="24"/>
          <w:szCs w:val="24"/>
        </w:rPr>
        <w:t xml:space="preserve">e % </w:t>
      </w:r>
      <w:r w:rsidR="00507E14">
        <w:rPr>
          <w:sz w:val="24"/>
          <w:szCs w:val="24"/>
        </w:rPr>
        <w:t>anno 2020</w:t>
      </w:r>
    </w:p>
    <w:p w:rsidR="009A071A" w:rsidRDefault="009A071A">
      <w:pPr>
        <w:rPr>
          <w:sz w:val="18"/>
          <w:szCs w:val="18"/>
        </w:rPr>
      </w:pPr>
    </w:p>
    <w:tbl>
      <w:tblPr>
        <w:tblW w:w="5000" w:type="pct"/>
        <w:tblCellMar>
          <w:left w:w="70" w:type="dxa"/>
          <w:right w:w="70" w:type="dxa"/>
        </w:tblCellMar>
        <w:tblLook w:val="04A0" w:firstRow="1" w:lastRow="0" w:firstColumn="1" w:lastColumn="0" w:noHBand="0" w:noVBand="1"/>
      </w:tblPr>
      <w:tblGrid>
        <w:gridCol w:w="2462"/>
        <w:gridCol w:w="1655"/>
        <w:gridCol w:w="691"/>
        <w:gridCol w:w="2508"/>
        <w:gridCol w:w="1759"/>
        <w:gridCol w:w="706"/>
      </w:tblGrid>
      <w:tr w:rsidR="00ED1F12" w:rsidRPr="00ED1F12" w:rsidTr="00ED1F12">
        <w:trPr>
          <w:trHeight w:val="315"/>
        </w:trPr>
        <w:tc>
          <w:tcPr>
            <w:tcW w:w="1259" w:type="pct"/>
            <w:tcBorders>
              <w:top w:val="nil"/>
              <w:left w:val="nil"/>
              <w:bottom w:val="nil"/>
              <w:right w:val="nil"/>
            </w:tcBorders>
            <w:shd w:val="clear" w:color="000000" w:fill="4472C4"/>
            <w:noWrap/>
            <w:vAlign w:val="bottom"/>
            <w:hideMark/>
          </w:tcPr>
          <w:p w:rsidR="00ED1F12" w:rsidRPr="00ED1F12" w:rsidRDefault="00ED1F12" w:rsidP="00ED1F12">
            <w:pPr>
              <w:rPr>
                <w:rFonts w:eastAsia="Times New Roman"/>
                <w:b/>
                <w:bCs/>
                <w:color w:val="FFFFFF"/>
                <w:sz w:val="24"/>
                <w:szCs w:val="24"/>
                <w:lang w:eastAsia="it-IT"/>
              </w:rPr>
            </w:pPr>
            <w:r w:rsidRPr="00ED1F12">
              <w:rPr>
                <w:rFonts w:eastAsia="Times New Roman"/>
                <w:b/>
                <w:bCs/>
                <w:color w:val="FFFFFF"/>
                <w:sz w:val="24"/>
                <w:szCs w:val="24"/>
                <w:lang w:eastAsia="it-IT"/>
              </w:rPr>
              <w:t> </w:t>
            </w:r>
          </w:p>
        </w:tc>
        <w:tc>
          <w:tcPr>
            <w:tcW w:w="846" w:type="pct"/>
            <w:tcBorders>
              <w:top w:val="nil"/>
              <w:left w:val="nil"/>
              <w:bottom w:val="nil"/>
              <w:right w:val="nil"/>
            </w:tcBorders>
            <w:shd w:val="clear" w:color="000000" w:fill="4472C4"/>
            <w:noWrap/>
            <w:vAlign w:val="bottom"/>
            <w:hideMark/>
          </w:tcPr>
          <w:p w:rsidR="00ED1F12" w:rsidRPr="00ED1F12" w:rsidRDefault="00ED1F12" w:rsidP="00ED1F12">
            <w:pPr>
              <w:rPr>
                <w:rFonts w:eastAsia="Times New Roman"/>
                <w:b/>
                <w:bCs/>
                <w:color w:val="FFFFFF"/>
                <w:sz w:val="24"/>
                <w:szCs w:val="24"/>
                <w:lang w:eastAsia="it-IT"/>
              </w:rPr>
            </w:pPr>
            <w:r w:rsidRPr="00ED1F12">
              <w:rPr>
                <w:rFonts w:eastAsia="Times New Roman"/>
                <w:b/>
                <w:bCs/>
                <w:color w:val="FFFFFF"/>
                <w:sz w:val="24"/>
                <w:szCs w:val="24"/>
                <w:lang w:eastAsia="it-IT"/>
              </w:rPr>
              <w:t xml:space="preserve">Import </w:t>
            </w:r>
          </w:p>
        </w:tc>
        <w:tc>
          <w:tcPr>
            <w:tcW w:w="353" w:type="pct"/>
            <w:tcBorders>
              <w:top w:val="nil"/>
              <w:left w:val="nil"/>
              <w:bottom w:val="nil"/>
              <w:right w:val="nil"/>
            </w:tcBorders>
            <w:shd w:val="clear" w:color="000000" w:fill="4472C4"/>
            <w:noWrap/>
            <w:vAlign w:val="bottom"/>
            <w:hideMark/>
          </w:tcPr>
          <w:p w:rsidR="00ED1F12" w:rsidRPr="00ED1F12" w:rsidRDefault="00ED1F12" w:rsidP="00ED1F12">
            <w:pPr>
              <w:rPr>
                <w:rFonts w:eastAsia="Times New Roman"/>
                <w:b/>
                <w:bCs/>
                <w:color w:val="FFFFFF"/>
                <w:sz w:val="24"/>
                <w:szCs w:val="24"/>
                <w:lang w:eastAsia="it-IT"/>
              </w:rPr>
            </w:pPr>
            <w:r w:rsidRPr="00ED1F12">
              <w:rPr>
                <w:rFonts w:eastAsia="Times New Roman"/>
                <w:b/>
                <w:bCs/>
                <w:color w:val="FFFFFF"/>
                <w:sz w:val="24"/>
                <w:szCs w:val="24"/>
                <w:lang w:eastAsia="it-IT"/>
              </w:rPr>
              <w:t>%</w:t>
            </w:r>
          </w:p>
        </w:tc>
        <w:tc>
          <w:tcPr>
            <w:tcW w:w="1282" w:type="pct"/>
            <w:tcBorders>
              <w:top w:val="nil"/>
              <w:left w:val="single" w:sz="4" w:space="0" w:color="auto"/>
              <w:bottom w:val="nil"/>
              <w:right w:val="nil"/>
            </w:tcBorders>
            <w:shd w:val="clear" w:color="000000" w:fill="4472C4"/>
            <w:noWrap/>
            <w:vAlign w:val="bottom"/>
            <w:hideMark/>
          </w:tcPr>
          <w:p w:rsidR="00ED1F12" w:rsidRPr="00ED1F12" w:rsidRDefault="00ED1F12" w:rsidP="00ED1F12">
            <w:pPr>
              <w:rPr>
                <w:rFonts w:eastAsia="Times New Roman"/>
                <w:b/>
                <w:bCs/>
                <w:color w:val="FFFFFF"/>
                <w:sz w:val="24"/>
                <w:szCs w:val="24"/>
                <w:lang w:eastAsia="it-IT"/>
              </w:rPr>
            </w:pPr>
            <w:r w:rsidRPr="00ED1F12">
              <w:rPr>
                <w:rFonts w:eastAsia="Times New Roman"/>
                <w:b/>
                <w:bCs/>
                <w:color w:val="FFFFFF"/>
                <w:sz w:val="24"/>
                <w:szCs w:val="24"/>
                <w:lang w:eastAsia="it-IT"/>
              </w:rPr>
              <w:t> </w:t>
            </w:r>
          </w:p>
        </w:tc>
        <w:tc>
          <w:tcPr>
            <w:tcW w:w="899" w:type="pct"/>
            <w:tcBorders>
              <w:top w:val="nil"/>
              <w:left w:val="nil"/>
              <w:bottom w:val="nil"/>
              <w:right w:val="nil"/>
            </w:tcBorders>
            <w:shd w:val="clear" w:color="000000" w:fill="4472C4"/>
            <w:noWrap/>
            <w:vAlign w:val="bottom"/>
            <w:hideMark/>
          </w:tcPr>
          <w:p w:rsidR="00ED1F12" w:rsidRPr="00ED1F12" w:rsidRDefault="00ED1F12" w:rsidP="00ED1F12">
            <w:pPr>
              <w:rPr>
                <w:rFonts w:eastAsia="Times New Roman"/>
                <w:b/>
                <w:bCs/>
                <w:color w:val="FFFFFF"/>
                <w:sz w:val="24"/>
                <w:szCs w:val="24"/>
                <w:lang w:eastAsia="it-IT"/>
              </w:rPr>
            </w:pPr>
            <w:r w:rsidRPr="00ED1F12">
              <w:rPr>
                <w:rFonts w:eastAsia="Times New Roman"/>
                <w:b/>
                <w:bCs/>
                <w:color w:val="FFFFFF"/>
                <w:sz w:val="24"/>
                <w:szCs w:val="24"/>
                <w:lang w:eastAsia="it-IT"/>
              </w:rPr>
              <w:t>Export</w:t>
            </w:r>
          </w:p>
        </w:tc>
        <w:tc>
          <w:tcPr>
            <w:tcW w:w="361" w:type="pct"/>
            <w:tcBorders>
              <w:top w:val="nil"/>
              <w:left w:val="nil"/>
              <w:bottom w:val="nil"/>
              <w:right w:val="nil"/>
            </w:tcBorders>
            <w:shd w:val="clear" w:color="000000" w:fill="4472C4"/>
            <w:noWrap/>
            <w:vAlign w:val="bottom"/>
            <w:hideMark/>
          </w:tcPr>
          <w:p w:rsidR="00ED1F12" w:rsidRPr="00ED1F12" w:rsidRDefault="00ED1F12" w:rsidP="00ED1F12">
            <w:pPr>
              <w:rPr>
                <w:rFonts w:eastAsia="Times New Roman"/>
                <w:b/>
                <w:bCs/>
                <w:color w:val="FFFFFF"/>
                <w:sz w:val="24"/>
                <w:szCs w:val="24"/>
                <w:lang w:eastAsia="it-IT"/>
              </w:rPr>
            </w:pPr>
            <w:r w:rsidRPr="00ED1F12">
              <w:rPr>
                <w:rFonts w:eastAsia="Times New Roman"/>
                <w:b/>
                <w:bCs/>
                <w:color w:val="FFFFFF"/>
                <w:sz w:val="24"/>
                <w:szCs w:val="24"/>
                <w:lang w:eastAsia="it-IT"/>
              </w:rPr>
              <w:t>%</w:t>
            </w:r>
          </w:p>
        </w:tc>
      </w:tr>
      <w:tr w:rsidR="00ED1F12" w:rsidRPr="00ED1F12" w:rsidTr="00ED1F12">
        <w:trPr>
          <w:trHeight w:val="270"/>
        </w:trPr>
        <w:tc>
          <w:tcPr>
            <w:tcW w:w="1259" w:type="pct"/>
            <w:tcBorders>
              <w:top w:val="nil"/>
              <w:left w:val="nil"/>
              <w:bottom w:val="nil"/>
              <w:right w:val="nil"/>
            </w:tcBorders>
            <w:shd w:val="clear" w:color="auto" w:fill="auto"/>
            <w:noWrap/>
            <w:vAlign w:val="bottom"/>
            <w:hideMark/>
          </w:tcPr>
          <w:p w:rsidR="00ED1F12" w:rsidRPr="00ED1F12" w:rsidRDefault="00ED1F12" w:rsidP="00ED1F12">
            <w:pPr>
              <w:rPr>
                <w:rFonts w:eastAsia="Times New Roman"/>
                <w:color w:val="000000"/>
                <w:sz w:val="20"/>
                <w:szCs w:val="20"/>
                <w:lang w:eastAsia="it-IT"/>
              </w:rPr>
            </w:pPr>
            <w:r w:rsidRPr="00ED1F12">
              <w:rPr>
                <w:rFonts w:eastAsia="Times New Roman"/>
                <w:color w:val="000000"/>
                <w:sz w:val="20"/>
                <w:szCs w:val="20"/>
                <w:lang w:eastAsia="it-IT"/>
              </w:rPr>
              <w:t>Asia orientale</w:t>
            </w:r>
          </w:p>
        </w:tc>
        <w:tc>
          <w:tcPr>
            <w:tcW w:w="846" w:type="pct"/>
            <w:tcBorders>
              <w:top w:val="nil"/>
              <w:left w:val="nil"/>
              <w:bottom w:val="nil"/>
              <w:right w:val="nil"/>
            </w:tcBorders>
            <w:shd w:val="clear" w:color="auto" w:fill="auto"/>
            <w:noWrap/>
            <w:vAlign w:val="bottom"/>
            <w:hideMark/>
          </w:tcPr>
          <w:p w:rsidR="00ED1F12" w:rsidRPr="00ED1F12" w:rsidRDefault="00ED1F12" w:rsidP="00ED1F12">
            <w:pPr>
              <w:rPr>
                <w:rFonts w:eastAsia="Times New Roman"/>
                <w:color w:val="000000"/>
                <w:sz w:val="20"/>
                <w:szCs w:val="20"/>
                <w:lang w:eastAsia="it-IT"/>
              </w:rPr>
            </w:pPr>
            <w:r w:rsidRPr="00ED1F12">
              <w:rPr>
                <w:rFonts w:eastAsia="Times New Roman"/>
                <w:color w:val="000000"/>
                <w:sz w:val="20"/>
                <w:szCs w:val="20"/>
                <w:lang w:eastAsia="it-IT"/>
              </w:rPr>
              <w:t xml:space="preserve">       3.679.512.886   </w:t>
            </w:r>
          </w:p>
        </w:tc>
        <w:tc>
          <w:tcPr>
            <w:tcW w:w="353" w:type="pct"/>
            <w:tcBorders>
              <w:top w:val="nil"/>
              <w:left w:val="nil"/>
              <w:bottom w:val="nil"/>
              <w:right w:val="nil"/>
            </w:tcBorders>
            <w:shd w:val="clear" w:color="auto" w:fill="auto"/>
            <w:noWrap/>
            <w:vAlign w:val="bottom"/>
            <w:hideMark/>
          </w:tcPr>
          <w:p w:rsidR="00ED1F12" w:rsidRPr="00ED1F12" w:rsidRDefault="00ED1F12" w:rsidP="00ED1F12">
            <w:pPr>
              <w:jc w:val="right"/>
              <w:rPr>
                <w:rFonts w:eastAsia="Times New Roman"/>
                <w:color w:val="000000"/>
                <w:sz w:val="20"/>
                <w:szCs w:val="20"/>
                <w:lang w:eastAsia="it-IT"/>
              </w:rPr>
            </w:pPr>
            <w:r w:rsidRPr="00ED1F12">
              <w:rPr>
                <w:rFonts w:eastAsia="Times New Roman"/>
                <w:color w:val="000000"/>
                <w:sz w:val="20"/>
                <w:szCs w:val="20"/>
                <w:lang w:eastAsia="it-IT"/>
              </w:rPr>
              <w:t>41%</w:t>
            </w:r>
          </w:p>
        </w:tc>
        <w:tc>
          <w:tcPr>
            <w:tcW w:w="1282" w:type="pct"/>
            <w:tcBorders>
              <w:top w:val="nil"/>
              <w:left w:val="single" w:sz="4" w:space="0" w:color="auto"/>
              <w:bottom w:val="nil"/>
              <w:right w:val="nil"/>
            </w:tcBorders>
            <w:shd w:val="clear" w:color="auto" w:fill="auto"/>
            <w:noWrap/>
            <w:vAlign w:val="bottom"/>
            <w:hideMark/>
          </w:tcPr>
          <w:p w:rsidR="00ED1F12" w:rsidRPr="00ED1F12" w:rsidRDefault="00ED1F12" w:rsidP="00ED1F12">
            <w:pPr>
              <w:rPr>
                <w:rFonts w:eastAsia="Times New Roman"/>
                <w:color w:val="000000"/>
                <w:sz w:val="20"/>
                <w:szCs w:val="20"/>
                <w:lang w:eastAsia="it-IT"/>
              </w:rPr>
            </w:pPr>
            <w:r w:rsidRPr="00ED1F12">
              <w:rPr>
                <w:rFonts w:eastAsia="Times New Roman"/>
                <w:color w:val="000000"/>
                <w:sz w:val="20"/>
                <w:szCs w:val="20"/>
                <w:lang w:eastAsia="it-IT"/>
              </w:rPr>
              <w:t xml:space="preserve"> America settentrionale </w:t>
            </w:r>
          </w:p>
        </w:tc>
        <w:tc>
          <w:tcPr>
            <w:tcW w:w="899" w:type="pct"/>
            <w:tcBorders>
              <w:top w:val="nil"/>
              <w:left w:val="nil"/>
              <w:bottom w:val="nil"/>
              <w:right w:val="nil"/>
            </w:tcBorders>
            <w:shd w:val="clear" w:color="auto" w:fill="auto"/>
            <w:noWrap/>
            <w:vAlign w:val="bottom"/>
            <w:hideMark/>
          </w:tcPr>
          <w:p w:rsidR="00ED1F12" w:rsidRPr="00ED1F12" w:rsidRDefault="00ED1F12" w:rsidP="00ED1F12">
            <w:pPr>
              <w:rPr>
                <w:rFonts w:eastAsia="Times New Roman"/>
                <w:color w:val="000000"/>
                <w:sz w:val="20"/>
                <w:szCs w:val="20"/>
                <w:lang w:eastAsia="it-IT"/>
              </w:rPr>
            </w:pPr>
            <w:r w:rsidRPr="00ED1F12">
              <w:rPr>
                <w:rFonts w:eastAsia="Times New Roman"/>
                <w:color w:val="000000"/>
                <w:sz w:val="20"/>
                <w:szCs w:val="20"/>
                <w:lang w:eastAsia="it-IT"/>
              </w:rPr>
              <w:t xml:space="preserve">         5.297.869.366   </w:t>
            </w:r>
          </w:p>
        </w:tc>
        <w:tc>
          <w:tcPr>
            <w:tcW w:w="361" w:type="pct"/>
            <w:tcBorders>
              <w:top w:val="nil"/>
              <w:left w:val="nil"/>
              <w:bottom w:val="nil"/>
              <w:right w:val="nil"/>
            </w:tcBorders>
            <w:shd w:val="clear" w:color="auto" w:fill="auto"/>
            <w:noWrap/>
            <w:vAlign w:val="bottom"/>
            <w:hideMark/>
          </w:tcPr>
          <w:p w:rsidR="00ED1F12" w:rsidRPr="00ED1F12" w:rsidRDefault="00ED1F12" w:rsidP="00ED1F12">
            <w:pPr>
              <w:jc w:val="right"/>
              <w:rPr>
                <w:rFonts w:eastAsia="Times New Roman"/>
                <w:color w:val="000000"/>
                <w:sz w:val="20"/>
                <w:szCs w:val="20"/>
                <w:lang w:eastAsia="it-IT"/>
              </w:rPr>
            </w:pPr>
            <w:r w:rsidRPr="00ED1F12">
              <w:rPr>
                <w:rFonts w:eastAsia="Times New Roman"/>
                <w:color w:val="000000"/>
                <w:sz w:val="20"/>
                <w:szCs w:val="20"/>
                <w:lang w:eastAsia="it-IT"/>
              </w:rPr>
              <w:t>31%</w:t>
            </w:r>
          </w:p>
        </w:tc>
      </w:tr>
      <w:tr w:rsidR="00ED1F12" w:rsidRPr="00ED1F12" w:rsidTr="00ED1F12">
        <w:trPr>
          <w:trHeight w:val="270"/>
        </w:trPr>
        <w:tc>
          <w:tcPr>
            <w:tcW w:w="1259" w:type="pct"/>
            <w:tcBorders>
              <w:top w:val="nil"/>
              <w:left w:val="nil"/>
              <w:bottom w:val="nil"/>
              <w:right w:val="nil"/>
            </w:tcBorders>
            <w:shd w:val="clear" w:color="000000" w:fill="D9E1F2"/>
            <w:noWrap/>
            <w:vAlign w:val="bottom"/>
            <w:hideMark/>
          </w:tcPr>
          <w:p w:rsidR="00ED1F12" w:rsidRPr="00ED1F12" w:rsidRDefault="00ED1F12" w:rsidP="00ED1F12">
            <w:pPr>
              <w:rPr>
                <w:rFonts w:eastAsia="Times New Roman"/>
                <w:color w:val="000000"/>
                <w:sz w:val="20"/>
                <w:szCs w:val="20"/>
                <w:lang w:eastAsia="it-IT"/>
              </w:rPr>
            </w:pPr>
            <w:r w:rsidRPr="00ED1F12">
              <w:rPr>
                <w:rFonts w:eastAsia="Times New Roman"/>
                <w:color w:val="000000"/>
                <w:sz w:val="20"/>
                <w:szCs w:val="20"/>
                <w:lang w:eastAsia="it-IT"/>
              </w:rPr>
              <w:t>Paesi europei non Ue</w:t>
            </w:r>
          </w:p>
        </w:tc>
        <w:tc>
          <w:tcPr>
            <w:tcW w:w="846" w:type="pct"/>
            <w:tcBorders>
              <w:top w:val="nil"/>
              <w:left w:val="nil"/>
              <w:bottom w:val="nil"/>
              <w:right w:val="nil"/>
            </w:tcBorders>
            <w:shd w:val="clear" w:color="000000" w:fill="D9E1F2"/>
            <w:noWrap/>
            <w:vAlign w:val="bottom"/>
            <w:hideMark/>
          </w:tcPr>
          <w:p w:rsidR="00ED1F12" w:rsidRPr="00ED1F12" w:rsidRDefault="00ED1F12" w:rsidP="00ED1F12">
            <w:pPr>
              <w:rPr>
                <w:rFonts w:eastAsia="Times New Roman"/>
                <w:color w:val="000000"/>
                <w:sz w:val="20"/>
                <w:szCs w:val="20"/>
                <w:lang w:eastAsia="it-IT"/>
              </w:rPr>
            </w:pPr>
            <w:r w:rsidRPr="00ED1F12">
              <w:rPr>
                <w:rFonts w:eastAsia="Times New Roman"/>
                <w:color w:val="000000"/>
                <w:sz w:val="20"/>
                <w:szCs w:val="20"/>
                <w:lang w:eastAsia="it-IT"/>
              </w:rPr>
              <w:t xml:space="preserve">       1.265.353.650   </w:t>
            </w:r>
          </w:p>
        </w:tc>
        <w:tc>
          <w:tcPr>
            <w:tcW w:w="353" w:type="pct"/>
            <w:tcBorders>
              <w:top w:val="nil"/>
              <w:left w:val="nil"/>
              <w:bottom w:val="nil"/>
              <w:right w:val="nil"/>
            </w:tcBorders>
            <w:shd w:val="clear" w:color="000000" w:fill="D9E1F2"/>
            <w:noWrap/>
            <w:vAlign w:val="bottom"/>
            <w:hideMark/>
          </w:tcPr>
          <w:p w:rsidR="00ED1F12" w:rsidRPr="00ED1F12" w:rsidRDefault="00ED1F12" w:rsidP="00ED1F12">
            <w:pPr>
              <w:jc w:val="right"/>
              <w:rPr>
                <w:rFonts w:eastAsia="Times New Roman"/>
                <w:color w:val="000000"/>
                <w:sz w:val="20"/>
                <w:szCs w:val="20"/>
                <w:lang w:eastAsia="it-IT"/>
              </w:rPr>
            </w:pPr>
            <w:r w:rsidRPr="00ED1F12">
              <w:rPr>
                <w:rFonts w:eastAsia="Times New Roman"/>
                <w:color w:val="000000"/>
                <w:sz w:val="20"/>
                <w:szCs w:val="20"/>
                <w:lang w:eastAsia="it-IT"/>
              </w:rPr>
              <w:t>14%</w:t>
            </w:r>
          </w:p>
        </w:tc>
        <w:tc>
          <w:tcPr>
            <w:tcW w:w="1282" w:type="pct"/>
            <w:tcBorders>
              <w:top w:val="nil"/>
              <w:left w:val="single" w:sz="4" w:space="0" w:color="auto"/>
              <w:bottom w:val="nil"/>
              <w:right w:val="nil"/>
            </w:tcBorders>
            <w:shd w:val="clear" w:color="000000" w:fill="D9E1F2"/>
            <w:noWrap/>
            <w:vAlign w:val="bottom"/>
            <w:hideMark/>
          </w:tcPr>
          <w:p w:rsidR="00ED1F12" w:rsidRPr="00ED1F12" w:rsidRDefault="00ED1F12" w:rsidP="00ED1F12">
            <w:pPr>
              <w:rPr>
                <w:rFonts w:eastAsia="Times New Roman"/>
                <w:color w:val="000000"/>
                <w:sz w:val="20"/>
                <w:szCs w:val="20"/>
                <w:lang w:eastAsia="it-IT"/>
              </w:rPr>
            </w:pPr>
            <w:r w:rsidRPr="00ED1F12">
              <w:rPr>
                <w:rFonts w:eastAsia="Times New Roman"/>
                <w:color w:val="000000"/>
                <w:sz w:val="20"/>
                <w:szCs w:val="20"/>
                <w:lang w:eastAsia="it-IT"/>
              </w:rPr>
              <w:t xml:space="preserve"> Asia orientale </w:t>
            </w:r>
          </w:p>
        </w:tc>
        <w:tc>
          <w:tcPr>
            <w:tcW w:w="899" w:type="pct"/>
            <w:tcBorders>
              <w:top w:val="nil"/>
              <w:left w:val="nil"/>
              <w:bottom w:val="nil"/>
              <w:right w:val="nil"/>
            </w:tcBorders>
            <w:shd w:val="clear" w:color="000000" w:fill="D9E1F2"/>
            <w:noWrap/>
            <w:vAlign w:val="bottom"/>
            <w:hideMark/>
          </w:tcPr>
          <w:p w:rsidR="00ED1F12" w:rsidRPr="00ED1F12" w:rsidRDefault="00ED1F12" w:rsidP="00ED1F12">
            <w:pPr>
              <w:rPr>
                <w:rFonts w:eastAsia="Times New Roman"/>
                <w:color w:val="000000"/>
                <w:sz w:val="20"/>
                <w:szCs w:val="20"/>
                <w:lang w:eastAsia="it-IT"/>
              </w:rPr>
            </w:pPr>
            <w:r w:rsidRPr="00ED1F12">
              <w:rPr>
                <w:rFonts w:eastAsia="Times New Roman"/>
                <w:color w:val="000000"/>
                <w:sz w:val="20"/>
                <w:szCs w:val="20"/>
                <w:lang w:eastAsia="it-IT"/>
              </w:rPr>
              <w:t xml:space="preserve">         4.413.828.302   </w:t>
            </w:r>
          </w:p>
        </w:tc>
        <w:tc>
          <w:tcPr>
            <w:tcW w:w="361" w:type="pct"/>
            <w:tcBorders>
              <w:top w:val="nil"/>
              <w:left w:val="nil"/>
              <w:bottom w:val="nil"/>
              <w:right w:val="nil"/>
            </w:tcBorders>
            <w:shd w:val="clear" w:color="000000" w:fill="D9E1F2"/>
            <w:noWrap/>
            <w:vAlign w:val="bottom"/>
            <w:hideMark/>
          </w:tcPr>
          <w:p w:rsidR="00ED1F12" w:rsidRPr="00ED1F12" w:rsidRDefault="00ED1F12" w:rsidP="00ED1F12">
            <w:pPr>
              <w:jc w:val="right"/>
              <w:rPr>
                <w:rFonts w:eastAsia="Times New Roman"/>
                <w:color w:val="000000"/>
                <w:sz w:val="20"/>
                <w:szCs w:val="20"/>
                <w:lang w:eastAsia="it-IT"/>
              </w:rPr>
            </w:pPr>
            <w:r w:rsidRPr="00ED1F12">
              <w:rPr>
                <w:rFonts w:eastAsia="Times New Roman"/>
                <w:color w:val="000000"/>
                <w:sz w:val="20"/>
                <w:szCs w:val="20"/>
                <w:lang w:eastAsia="it-IT"/>
              </w:rPr>
              <w:t>26%</w:t>
            </w:r>
          </w:p>
        </w:tc>
      </w:tr>
      <w:tr w:rsidR="00ED1F12" w:rsidRPr="00ED1F12" w:rsidTr="00ED1F12">
        <w:trPr>
          <w:trHeight w:val="270"/>
        </w:trPr>
        <w:tc>
          <w:tcPr>
            <w:tcW w:w="1259" w:type="pct"/>
            <w:tcBorders>
              <w:top w:val="nil"/>
              <w:left w:val="nil"/>
              <w:bottom w:val="nil"/>
              <w:right w:val="nil"/>
            </w:tcBorders>
            <w:shd w:val="clear" w:color="auto" w:fill="auto"/>
            <w:noWrap/>
            <w:vAlign w:val="bottom"/>
            <w:hideMark/>
          </w:tcPr>
          <w:p w:rsidR="00ED1F12" w:rsidRPr="00ED1F12" w:rsidRDefault="00ED1F12" w:rsidP="00ED1F12">
            <w:pPr>
              <w:rPr>
                <w:rFonts w:eastAsia="Times New Roman"/>
                <w:color w:val="000000"/>
                <w:sz w:val="20"/>
                <w:szCs w:val="20"/>
                <w:lang w:eastAsia="it-IT"/>
              </w:rPr>
            </w:pPr>
            <w:r w:rsidRPr="00ED1F12">
              <w:rPr>
                <w:rFonts w:eastAsia="Times New Roman"/>
                <w:color w:val="000000"/>
                <w:sz w:val="20"/>
                <w:szCs w:val="20"/>
                <w:lang w:eastAsia="it-IT"/>
              </w:rPr>
              <w:t>America centro-meridionale</w:t>
            </w:r>
          </w:p>
        </w:tc>
        <w:tc>
          <w:tcPr>
            <w:tcW w:w="846" w:type="pct"/>
            <w:tcBorders>
              <w:top w:val="nil"/>
              <w:left w:val="nil"/>
              <w:bottom w:val="nil"/>
              <w:right w:val="nil"/>
            </w:tcBorders>
            <w:shd w:val="clear" w:color="auto" w:fill="auto"/>
            <w:noWrap/>
            <w:vAlign w:val="bottom"/>
            <w:hideMark/>
          </w:tcPr>
          <w:p w:rsidR="00ED1F12" w:rsidRPr="00ED1F12" w:rsidRDefault="00ED1F12" w:rsidP="00ED1F12">
            <w:pPr>
              <w:rPr>
                <w:rFonts w:eastAsia="Times New Roman"/>
                <w:color w:val="000000"/>
                <w:sz w:val="20"/>
                <w:szCs w:val="20"/>
                <w:lang w:eastAsia="it-IT"/>
              </w:rPr>
            </w:pPr>
            <w:r w:rsidRPr="00ED1F12">
              <w:rPr>
                <w:rFonts w:eastAsia="Times New Roman"/>
                <w:color w:val="000000"/>
                <w:sz w:val="20"/>
                <w:szCs w:val="20"/>
                <w:lang w:eastAsia="it-IT"/>
              </w:rPr>
              <w:t xml:space="preserve">       1.097.527.185   </w:t>
            </w:r>
          </w:p>
        </w:tc>
        <w:tc>
          <w:tcPr>
            <w:tcW w:w="353" w:type="pct"/>
            <w:tcBorders>
              <w:top w:val="nil"/>
              <w:left w:val="nil"/>
              <w:bottom w:val="nil"/>
              <w:right w:val="nil"/>
            </w:tcBorders>
            <w:shd w:val="clear" w:color="auto" w:fill="auto"/>
            <w:noWrap/>
            <w:vAlign w:val="bottom"/>
            <w:hideMark/>
          </w:tcPr>
          <w:p w:rsidR="00ED1F12" w:rsidRPr="00ED1F12" w:rsidRDefault="00ED1F12" w:rsidP="00ED1F12">
            <w:pPr>
              <w:jc w:val="right"/>
              <w:rPr>
                <w:rFonts w:eastAsia="Times New Roman"/>
                <w:color w:val="000000"/>
                <w:sz w:val="20"/>
                <w:szCs w:val="20"/>
                <w:lang w:eastAsia="it-IT"/>
              </w:rPr>
            </w:pPr>
            <w:r w:rsidRPr="00ED1F12">
              <w:rPr>
                <w:rFonts w:eastAsia="Times New Roman"/>
                <w:color w:val="000000"/>
                <w:sz w:val="20"/>
                <w:szCs w:val="20"/>
                <w:lang w:eastAsia="it-IT"/>
              </w:rPr>
              <w:t>12%</w:t>
            </w:r>
          </w:p>
        </w:tc>
        <w:tc>
          <w:tcPr>
            <w:tcW w:w="1282" w:type="pct"/>
            <w:tcBorders>
              <w:top w:val="nil"/>
              <w:left w:val="single" w:sz="4" w:space="0" w:color="auto"/>
              <w:bottom w:val="nil"/>
              <w:right w:val="nil"/>
            </w:tcBorders>
            <w:shd w:val="clear" w:color="auto" w:fill="auto"/>
            <w:noWrap/>
            <w:vAlign w:val="bottom"/>
            <w:hideMark/>
          </w:tcPr>
          <w:p w:rsidR="00ED1F12" w:rsidRPr="00ED1F12" w:rsidRDefault="00ED1F12" w:rsidP="00ED1F12">
            <w:pPr>
              <w:rPr>
                <w:rFonts w:eastAsia="Times New Roman"/>
                <w:color w:val="000000"/>
                <w:sz w:val="20"/>
                <w:szCs w:val="20"/>
                <w:lang w:eastAsia="it-IT"/>
              </w:rPr>
            </w:pPr>
            <w:r w:rsidRPr="00ED1F12">
              <w:rPr>
                <w:rFonts w:eastAsia="Times New Roman"/>
                <w:color w:val="000000"/>
                <w:sz w:val="20"/>
                <w:szCs w:val="20"/>
                <w:lang w:eastAsia="it-IT"/>
              </w:rPr>
              <w:t xml:space="preserve"> Medio Oriente </w:t>
            </w:r>
          </w:p>
        </w:tc>
        <w:tc>
          <w:tcPr>
            <w:tcW w:w="899" w:type="pct"/>
            <w:tcBorders>
              <w:top w:val="nil"/>
              <w:left w:val="nil"/>
              <w:bottom w:val="nil"/>
              <w:right w:val="nil"/>
            </w:tcBorders>
            <w:shd w:val="clear" w:color="auto" w:fill="auto"/>
            <w:noWrap/>
            <w:vAlign w:val="bottom"/>
            <w:hideMark/>
          </w:tcPr>
          <w:p w:rsidR="00ED1F12" w:rsidRPr="00ED1F12" w:rsidRDefault="00ED1F12" w:rsidP="00ED1F12">
            <w:pPr>
              <w:rPr>
                <w:rFonts w:eastAsia="Times New Roman"/>
                <w:color w:val="000000"/>
                <w:sz w:val="20"/>
                <w:szCs w:val="20"/>
                <w:lang w:eastAsia="it-IT"/>
              </w:rPr>
            </w:pPr>
            <w:r w:rsidRPr="00ED1F12">
              <w:rPr>
                <w:rFonts w:eastAsia="Times New Roman"/>
                <w:color w:val="000000"/>
                <w:sz w:val="20"/>
                <w:szCs w:val="20"/>
                <w:lang w:eastAsia="it-IT"/>
              </w:rPr>
              <w:t xml:space="preserve">         1.728.435.839   </w:t>
            </w:r>
          </w:p>
        </w:tc>
        <w:tc>
          <w:tcPr>
            <w:tcW w:w="361" w:type="pct"/>
            <w:tcBorders>
              <w:top w:val="nil"/>
              <w:left w:val="nil"/>
              <w:bottom w:val="nil"/>
              <w:right w:val="nil"/>
            </w:tcBorders>
            <w:shd w:val="clear" w:color="auto" w:fill="auto"/>
            <w:noWrap/>
            <w:vAlign w:val="bottom"/>
            <w:hideMark/>
          </w:tcPr>
          <w:p w:rsidR="00ED1F12" w:rsidRPr="00ED1F12" w:rsidRDefault="00ED1F12" w:rsidP="00ED1F12">
            <w:pPr>
              <w:jc w:val="right"/>
              <w:rPr>
                <w:rFonts w:eastAsia="Times New Roman"/>
                <w:color w:val="000000"/>
                <w:sz w:val="20"/>
                <w:szCs w:val="20"/>
                <w:lang w:eastAsia="it-IT"/>
              </w:rPr>
            </w:pPr>
            <w:r w:rsidRPr="00ED1F12">
              <w:rPr>
                <w:rFonts w:eastAsia="Times New Roman"/>
                <w:color w:val="000000"/>
                <w:sz w:val="20"/>
                <w:szCs w:val="20"/>
                <w:lang w:eastAsia="it-IT"/>
              </w:rPr>
              <w:t>10%</w:t>
            </w:r>
          </w:p>
        </w:tc>
      </w:tr>
      <w:tr w:rsidR="00ED1F12" w:rsidRPr="00ED1F12" w:rsidTr="00ED1F12">
        <w:trPr>
          <w:trHeight w:val="270"/>
        </w:trPr>
        <w:tc>
          <w:tcPr>
            <w:tcW w:w="1259" w:type="pct"/>
            <w:tcBorders>
              <w:top w:val="nil"/>
              <w:left w:val="nil"/>
              <w:bottom w:val="nil"/>
              <w:right w:val="nil"/>
            </w:tcBorders>
            <w:shd w:val="clear" w:color="000000" w:fill="D9E1F2"/>
            <w:noWrap/>
            <w:vAlign w:val="bottom"/>
            <w:hideMark/>
          </w:tcPr>
          <w:p w:rsidR="00ED1F12" w:rsidRPr="00ED1F12" w:rsidRDefault="00ED1F12" w:rsidP="00ED1F12">
            <w:pPr>
              <w:rPr>
                <w:rFonts w:eastAsia="Times New Roman"/>
                <w:color w:val="000000"/>
                <w:sz w:val="20"/>
                <w:szCs w:val="20"/>
                <w:lang w:eastAsia="it-IT"/>
              </w:rPr>
            </w:pPr>
            <w:r w:rsidRPr="00ED1F12">
              <w:rPr>
                <w:rFonts w:eastAsia="Times New Roman"/>
                <w:color w:val="000000"/>
                <w:sz w:val="20"/>
                <w:szCs w:val="20"/>
                <w:lang w:eastAsia="it-IT"/>
              </w:rPr>
              <w:t>UE27</w:t>
            </w:r>
          </w:p>
        </w:tc>
        <w:tc>
          <w:tcPr>
            <w:tcW w:w="846" w:type="pct"/>
            <w:tcBorders>
              <w:top w:val="nil"/>
              <w:left w:val="nil"/>
              <w:bottom w:val="nil"/>
              <w:right w:val="nil"/>
            </w:tcBorders>
            <w:shd w:val="clear" w:color="000000" w:fill="D9E1F2"/>
            <w:noWrap/>
            <w:vAlign w:val="bottom"/>
            <w:hideMark/>
          </w:tcPr>
          <w:p w:rsidR="00ED1F12" w:rsidRPr="00ED1F12" w:rsidRDefault="00ED1F12" w:rsidP="00ED1F12">
            <w:pPr>
              <w:rPr>
                <w:rFonts w:eastAsia="Times New Roman"/>
                <w:color w:val="000000"/>
                <w:sz w:val="20"/>
                <w:szCs w:val="20"/>
                <w:lang w:eastAsia="it-IT"/>
              </w:rPr>
            </w:pPr>
            <w:r w:rsidRPr="00ED1F12">
              <w:rPr>
                <w:rFonts w:eastAsia="Times New Roman"/>
                <w:color w:val="000000"/>
                <w:sz w:val="20"/>
                <w:szCs w:val="20"/>
                <w:lang w:eastAsia="it-IT"/>
              </w:rPr>
              <w:t xml:space="preserve">          945.473.238   </w:t>
            </w:r>
          </w:p>
        </w:tc>
        <w:tc>
          <w:tcPr>
            <w:tcW w:w="353" w:type="pct"/>
            <w:tcBorders>
              <w:top w:val="nil"/>
              <w:left w:val="nil"/>
              <w:bottom w:val="nil"/>
              <w:right w:val="nil"/>
            </w:tcBorders>
            <w:shd w:val="clear" w:color="000000" w:fill="D9E1F2"/>
            <w:noWrap/>
            <w:vAlign w:val="bottom"/>
            <w:hideMark/>
          </w:tcPr>
          <w:p w:rsidR="00ED1F12" w:rsidRPr="00ED1F12" w:rsidRDefault="00ED1F12" w:rsidP="00ED1F12">
            <w:pPr>
              <w:jc w:val="right"/>
              <w:rPr>
                <w:rFonts w:eastAsia="Times New Roman"/>
                <w:color w:val="000000"/>
                <w:sz w:val="20"/>
                <w:szCs w:val="20"/>
                <w:lang w:eastAsia="it-IT"/>
              </w:rPr>
            </w:pPr>
            <w:r w:rsidRPr="00ED1F12">
              <w:rPr>
                <w:rFonts w:eastAsia="Times New Roman"/>
                <w:color w:val="000000"/>
                <w:sz w:val="20"/>
                <w:szCs w:val="20"/>
                <w:lang w:eastAsia="it-IT"/>
              </w:rPr>
              <w:t>11%</w:t>
            </w:r>
          </w:p>
        </w:tc>
        <w:tc>
          <w:tcPr>
            <w:tcW w:w="1282" w:type="pct"/>
            <w:tcBorders>
              <w:top w:val="nil"/>
              <w:left w:val="single" w:sz="4" w:space="0" w:color="auto"/>
              <w:bottom w:val="nil"/>
              <w:right w:val="nil"/>
            </w:tcBorders>
            <w:shd w:val="clear" w:color="000000" w:fill="D9E1F2"/>
            <w:noWrap/>
            <w:vAlign w:val="bottom"/>
            <w:hideMark/>
          </w:tcPr>
          <w:p w:rsidR="00ED1F12" w:rsidRPr="00ED1F12" w:rsidRDefault="00ED1F12" w:rsidP="00ED1F12">
            <w:pPr>
              <w:rPr>
                <w:rFonts w:eastAsia="Times New Roman"/>
                <w:color w:val="000000"/>
                <w:sz w:val="20"/>
                <w:szCs w:val="20"/>
                <w:lang w:eastAsia="it-IT"/>
              </w:rPr>
            </w:pPr>
            <w:r w:rsidRPr="00ED1F12">
              <w:rPr>
                <w:rFonts w:eastAsia="Times New Roman"/>
                <w:color w:val="000000"/>
                <w:sz w:val="20"/>
                <w:szCs w:val="20"/>
                <w:lang w:eastAsia="it-IT"/>
              </w:rPr>
              <w:t xml:space="preserve"> America centro-meridionale </w:t>
            </w:r>
          </w:p>
        </w:tc>
        <w:tc>
          <w:tcPr>
            <w:tcW w:w="899" w:type="pct"/>
            <w:tcBorders>
              <w:top w:val="nil"/>
              <w:left w:val="nil"/>
              <w:bottom w:val="nil"/>
              <w:right w:val="nil"/>
            </w:tcBorders>
            <w:shd w:val="clear" w:color="000000" w:fill="D9E1F2"/>
            <w:noWrap/>
            <w:vAlign w:val="bottom"/>
            <w:hideMark/>
          </w:tcPr>
          <w:p w:rsidR="00ED1F12" w:rsidRPr="00ED1F12" w:rsidRDefault="00ED1F12" w:rsidP="00ED1F12">
            <w:pPr>
              <w:rPr>
                <w:rFonts w:eastAsia="Times New Roman"/>
                <w:color w:val="000000"/>
                <w:sz w:val="20"/>
                <w:szCs w:val="20"/>
                <w:lang w:eastAsia="it-IT"/>
              </w:rPr>
            </w:pPr>
            <w:r w:rsidRPr="00ED1F12">
              <w:rPr>
                <w:rFonts w:eastAsia="Times New Roman"/>
                <w:color w:val="000000"/>
                <w:sz w:val="20"/>
                <w:szCs w:val="20"/>
                <w:lang w:eastAsia="it-IT"/>
              </w:rPr>
              <w:t xml:space="preserve">         1.567.116.969   </w:t>
            </w:r>
          </w:p>
        </w:tc>
        <w:tc>
          <w:tcPr>
            <w:tcW w:w="361" w:type="pct"/>
            <w:tcBorders>
              <w:top w:val="nil"/>
              <w:left w:val="nil"/>
              <w:bottom w:val="nil"/>
              <w:right w:val="nil"/>
            </w:tcBorders>
            <w:shd w:val="clear" w:color="000000" w:fill="D9E1F2"/>
            <w:noWrap/>
            <w:vAlign w:val="bottom"/>
            <w:hideMark/>
          </w:tcPr>
          <w:p w:rsidR="00ED1F12" w:rsidRPr="00ED1F12" w:rsidRDefault="00ED1F12" w:rsidP="00ED1F12">
            <w:pPr>
              <w:jc w:val="right"/>
              <w:rPr>
                <w:rFonts w:eastAsia="Times New Roman"/>
                <w:color w:val="000000"/>
                <w:sz w:val="20"/>
                <w:szCs w:val="20"/>
                <w:lang w:eastAsia="it-IT"/>
              </w:rPr>
            </w:pPr>
            <w:r w:rsidRPr="00ED1F12">
              <w:rPr>
                <w:rFonts w:eastAsia="Times New Roman"/>
                <w:color w:val="000000"/>
                <w:sz w:val="20"/>
                <w:szCs w:val="20"/>
                <w:lang w:eastAsia="it-IT"/>
              </w:rPr>
              <w:t>9%</w:t>
            </w:r>
          </w:p>
        </w:tc>
      </w:tr>
      <w:tr w:rsidR="00ED1F12" w:rsidRPr="00ED1F12" w:rsidTr="00ED1F12">
        <w:trPr>
          <w:trHeight w:val="270"/>
        </w:trPr>
        <w:tc>
          <w:tcPr>
            <w:tcW w:w="1259" w:type="pct"/>
            <w:tcBorders>
              <w:top w:val="nil"/>
              <w:left w:val="nil"/>
              <w:bottom w:val="nil"/>
              <w:right w:val="nil"/>
            </w:tcBorders>
            <w:shd w:val="clear" w:color="auto" w:fill="auto"/>
            <w:noWrap/>
            <w:vAlign w:val="bottom"/>
            <w:hideMark/>
          </w:tcPr>
          <w:p w:rsidR="00ED1F12" w:rsidRPr="00ED1F12" w:rsidRDefault="00ED1F12" w:rsidP="00ED1F12">
            <w:pPr>
              <w:rPr>
                <w:rFonts w:eastAsia="Times New Roman"/>
                <w:color w:val="000000"/>
                <w:sz w:val="20"/>
                <w:szCs w:val="20"/>
                <w:lang w:eastAsia="it-IT"/>
              </w:rPr>
            </w:pPr>
            <w:r w:rsidRPr="00ED1F12">
              <w:rPr>
                <w:rFonts w:eastAsia="Times New Roman"/>
                <w:color w:val="000000"/>
                <w:sz w:val="20"/>
                <w:szCs w:val="20"/>
                <w:lang w:eastAsia="it-IT"/>
              </w:rPr>
              <w:t>Asia centrale</w:t>
            </w:r>
          </w:p>
        </w:tc>
        <w:tc>
          <w:tcPr>
            <w:tcW w:w="846" w:type="pct"/>
            <w:tcBorders>
              <w:top w:val="nil"/>
              <w:left w:val="nil"/>
              <w:bottom w:val="nil"/>
              <w:right w:val="nil"/>
            </w:tcBorders>
            <w:shd w:val="clear" w:color="auto" w:fill="auto"/>
            <w:noWrap/>
            <w:vAlign w:val="bottom"/>
            <w:hideMark/>
          </w:tcPr>
          <w:p w:rsidR="00ED1F12" w:rsidRPr="00ED1F12" w:rsidRDefault="00ED1F12" w:rsidP="00ED1F12">
            <w:pPr>
              <w:rPr>
                <w:rFonts w:eastAsia="Times New Roman"/>
                <w:color w:val="000000"/>
                <w:sz w:val="20"/>
                <w:szCs w:val="20"/>
                <w:lang w:eastAsia="it-IT"/>
              </w:rPr>
            </w:pPr>
            <w:r w:rsidRPr="00ED1F12">
              <w:rPr>
                <w:rFonts w:eastAsia="Times New Roman"/>
                <w:color w:val="000000"/>
                <w:sz w:val="20"/>
                <w:szCs w:val="20"/>
                <w:lang w:eastAsia="it-IT"/>
              </w:rPr>
              <w:t xml:space="preserve">          675.543.578   </w:t>
            </w:r>
          </w:p>
        </w:tc>
        <w:tc>
          <w:tcPr>
            <w:tcW w:w="353" w:type="pct"/>
            <w:tcBorders>
              <w:top w:val="nil"/>
              <w:left w:val="nil"/>
              <w:bottom w:val="nil"/>
              <w:right w:val="nil"/>
            </w:tcBorders>
            <w:shd w:val="clear" w:color="auto" w:fill="auto"/>
            <w:noWrap/>
            <w:vAlign w:val="bottom"/>
            <w:hideMark/>
          </w:tcPr>
          <w:p w:rsidR="00ED1F12" w:rsidRPr="00ED1F12" w:rsidRDefault="00ED1F12" w:rsidP="00ED1F12">
            <w:pPr>
              <w:jc w:val="right"/>
              <w:rPr>
                <w:rFonts w:eastAsia="Times New Roman"/>
                <w:color w:val="000000"/>
                <w:sz w:val="20"/>
                <w:szCs w:val="20"/>
                <w:lang w:eastAsia="it-IT"/>
              </w:rPr>
            </w:pPr>
            <w:r w:rsidRPr="00ED1F12">
              <w:rPr>
                <w:rFonts w:eastAsia="Times New Roman"/>
                <w:color w:val="000000"/>
                <w:sz w:val="20"/>
                <w:szCs w:val="20"/>
                <w:lang w:eastAsia="it-IT"/>
              </w:rPr>
              <w:t>8%</w:t>
            </w:r>
          </w:p>
        </w:tc>
        <w:tc>
          <w:tcPr>
            <w:tcW w:w="1282" w:type="pct"/>
            <w:tcBorders>
              <w:top w:val="nil"/>
              <w:left w:val="single" w:sz="4" w:space="0" w:color="auto"/>
              <w:bottom w:val="nil"/>
              <w:right w:val="nil"/>
            </w:tcBorders>
            <w:shd w:val="clear" w:color="auto" w:fill="auto"/>
            <w:noWrap/>
            <w:vAlign w:val="bottom"/>
            <w:hideMark/>
          </w:tcPr>
          <w:p w:rsidR="00ED1F12" w:rsidRPr="00ED1F12" w:rsidRDefault="00ED1F12" w:rsidP="00ED1F12">
            <w:pPr>
              <w:rPr>
                <w:rFonts w:eastAsia="Times New Roman"/>
                <w:color w:val="000000"/>
                <w:sz w:val="20"/>
                <w:szCs w:val="20"/>
                <w:lang w:eastAsia="it-IT"/>
              </w:rPr>
            </w:pPr>
            <w:r w:rsidRPr="00ED1F12">
              <w:rPr>
                <w:rFonts w:eastAsia="Times New Roman"/>
                <w:color w:val="000000"/>
                <w:sz w:val="20"/>
                <w:szCs w:val="20"/>
                <w:lang w:eastAsia="it-IT"/>
              </w:rPr>
              <w:t xml:space="preserve"> Africa settentrionale </w:t>
            </w:r>
          </w:p>
        </w:tc>
        <w:tc>
          <w:tcPr>
            <w:tcW w:w="899" w:type="pct"/>
            <w:tcBorders>
              <w:top w:val="nil"/>
              <w:left w:val="nil"/>
              <w:bottom w:val="nil"/>
              <w:right w:val="nil"/>
            </w:tcBorders>
            <w:shd w:val="clear" w:color="auto" w:fill="auto"/>
            <w:noWrap/>
            <w:vAlign w:val="bottom"/>
            <w:hideMark/>
          </w:tcPr>
          <w:p w:rsidR="00ED1F12" w:rsidRPr="00ED1F12" w:rsidRDefault="00ED1F12" w:rsidP="00ED1F12">
            <w:pPr>
              <w:rPr>
                <w:rFonts w:eastAsia="Times New Roman"/>
                <w:color w:val="000000"/>
                <w:sz w:val="20"/>
                <w:szCs w:val="20"/>
                <w:lang w:eastAsia="it-IT"/>
              </w:rPr>
            </w:pPr>
            <w:r w:rsidRPr="00ED1F12">
              <w:rPr>
                <w:rFonts w:eastAsia="Times New Roman"/>
                <w:color w:val="000000"/>
                <w:sz w:val="20"/>
                <w:szCs w:val="20"/>
                <w:lang w:eastAsia="it-IT"/>
              </w:rPr>
              <w:t xml:space="preserve">           992.465.818   </w:t>
            </w:r>
          </w:p>
        </w:tc>
        <w:tc>
          <w:tcPr>
            <w:tcW w:w="361" w:type="pct"/>
            <w:tcBorders>
              <w:top w:val="nil"/>
              <w:left w:val="nil"/>
              <w:bottom w:val="nil"/>
              <w:right w:val="nil"/>
            </w:tcBorders>
            <w:shd w:val="clear" w:color="auto" w:fill="auto"/>
            <w:noWrap/>
            <w:vAlign w:val="bottom"/>
            <w:hideMark/>
          </w:tcPr>
          <w:p w:rsidR="00ED1F12" w:rsidRPr="00ED1F12" w:rsidRDefault="00ED1F12" w:rsidP="00ED1F12">
            <w:pPr>
              <w:jc w:val="right"/>
              <w:rPr>
                <w:rFonts w:eastAsia="Times New Roman"/>
                <w:color w:val="000000"/>
                <w:sz w:val="20"/>
                <w:szCs w:val="20"/>
                <w:lang w:eastAsia="it-IT"/>
              </w:rPr>
            </w:pPr>
            <w:r w:rsidRPr="00ED1F12">
              <w:rPr>
                <w:rFonts w:eastAsia="Times New Roman"/>
                <w:color w:val="000000"/>
                <w:sz w:val="20"/>
                <w:szCs w:val="20"/>
                <w:lang w:eastAsia="it-IT"/>
              </w:rPr>
              <w:t>6%</w:t>
            </w:r>
          </w:p>
        </w:tc>
      </w:tr>
      <w:tr w:rsidR="00ED1F12" w:rsidRPr="00ED1F12" w:rsidTr="00ED1F12">
        <w:trPr>
          <w:trHeight w:val="270"/>
        </w:trPr>
        <w:tc>
          <w:tcPr>
            <w:tcW w:w="1259" w:type="pct"/>
            <w:tcBorders>
              <w:top w:val="nil"/>
              <w:left w:val="nil"/>
              <w:bottom w:val="nil"/>
              <w:right w:val="nil"/>
            </w:tcBorders>
            <w:shd w:val="clear" w:color="000000" w:fill="D9E1F2"/>
            <w:noWrap/>
            <w:vAlign w:val="bottom"/>
            <w:hideMark/>
          </w:tcPr>
          <w:p w:rsidR="00ED1F12" w:rsidRPr="00ED1F12" w:rsidRDefault="00ED1F12" w:rsidP="00ED1F12">
            <w:pPr>
              <w:rPr>
                <w:rFonts w:eastAsia="Times New Roman"/>
                <w:color w:val="000000"/>
                <w:sz w:val="20"/>
                <w:szCs w:val="20"/>
                <w:lang w:eastAsia="it-IT"/>
              </w:rPr>
            </w:pPr>
            <w:r w:rsidRPr="00ED1F12">
              <w:rPr>
                <w:rFonts w:eastAsia="Times New Roman"/>
                <w:color w:val="000000"/>
                <w:sz w:val="20"/>
                <w:szCs w:val="20"/>
                <w:lang w:eastAsia="it-IT"/>
              </w:rPr>
              <w:t>America settentrionale</w:t>
            </w:r>
          </w:p>
        </w:tc>
        <w:tc>
          <w:tcPr>
            <w:tcW w:w="846" w:type="pct"/>
            <w:tcBorders>
              <w:top w:val="nil"/>
              <w:left w:val="nil"/>
              <w:bottom w:val="nil"/>
              <w:right w:val="nil"/>
            </w:tcBorders>
            <w:shd w:val="clear" w:color="000000" w:fill="D9E1F2"/>
            <w:noWrap/>
            <w:vAlign w:val="bottom"/>
            <w:hideMark/>
          </w:tcPr>
          <w:p w:rsidR="00ED1F12" w:rsidRPr="00ED1F12" w:rsidRDefault="00ED1F12" w:rsidP="00ED1F12">
            <w:pPr>
              <w:rPr>
                <w:rFonts w:eastAsia="Times New Roman"/>
                <w:color w:val="000000"/>
                <w:sz w:val="20"/>
                <w:szCs w:val="20"/>
                <w:lang w:eastAsia="it-IT"/>
              </w:rPr>
            </w:pPr>
            <w:r w:rsidRPr="00ED1F12">
              <w:rPr>
                <w:rFonts w:eastAsia="Times New Roman"/>
                <w:color w:val="000000"/>
                <w:sz w:val="20"/>
                <w:szCs w:val="20"/>
                <w:lang w:eastAsia="it-IT"/>
              </w:rPr>
              <w:t xml:space="preserve">          523.153.681   </w:t>
            </w:r>
          </w:p>
        </w:tc>
        <w:tc>
          <w:tcPr>
            <w:tcW w:w="353" w:type="pct"/>
            <w:tcBorders>
              <w:top w:val="nil"/>
              <w:left w:val="nil"/>
              <w:bottom w:val="nil"/>
              <w:right w:val="nil"/>
            </w:tcBorders>
            <w:shd w:val="clear" w:color="000000" w:fill="D9E1F2"/>
            <w:noWrap/>
            <w:vAlign w:val="bottom"/>
            <w:hideMark/>
          </w:tcPr>
          <w:p w:rsidR="00ED1F12" w:rsidRPr="00ED1F12" w:rsidRDefault="00ED1F12" w:rsidP="00ED1F12">
            <w:pPr>
              <w:jc w:val="right"/>
              <w:rPr>
                <w:rFonts w:eastAsia="Times New Roman"/>
                <w:color w:val="000000"/>
                <w:sz w:val="20"/>
                <w:szCs w:val="20"/>
                <w:lang w:eastAsia="it-IT"/>
              </w:rPr>
            </w:pPr>
            <w:r w:rsidRPr="00ED1F12">
              <w:rPr>
                <w:rFonts w:eastAsia="Times New Roman"/>
                <w:color w:val="000000"/>
                <w:sz w:val="20"/>
                <w:szCs w:val="20"/>
                <w:lang w:eastAsia="it-IT"/>
              </w:rPr>
              <w:t>6%</w:t>
            </w:r>
          </w:p>
        </w:tc>
        <w:tc>
          <w:tcPr>
            <w:tcW w:w="1282" w:type="pct"/>
            <w:tcBorders>
              <w:top w:val="nil"/>
              <w:left w:val="single" w:sz="4" w:space="0" w:color="auto"/>
              <w:bottom w:val="nil"/>
              <w:right w:val="nil"/>
            </w:tcBorders>
            <w:shd w:val="clear" w:color="000000" w:fill="D9E1F2"/>
            <w:noWrap/>
            <w:vAlign w:val="bottom"/>
            <w:hideMark/>
          </w:tcPr>
          <w:p w:rsidR="00ED1F12" w:rsidRPr="00ED1F12" w:rsidRDefault="00ED1F12" w:rsidP="00ED1F12">
            <w:pPr>
              <w:rPr>
                <w:rFonts w:eastAsia="Times New Roman"/>
                <w:color w:val="000000"/>
                <w:sz w:val="20"/>
                <w:szCs w:val="20"/>
                <w:lang w:eastAsia="it-IT"/>
              </w:rPr>
            </w:pPr>
            <w:r w:rsidRPr="00ED1F12">
              <w:rPr>
                <w:rFonts w:eastAsia="Times New Roman"/>
                <w:color w:val="000000"/>
                <w:sz w:val="20"/>
                <w:szCs w:val="20"/>
                <w:lang w:eastAsia="it-IT"/>
              </w:rPr>
              <w:t xml:space="preserve"> Paesi europei non Ue </w:t>
            </w:r>
          </w:p>
        </w:tc>
        <w:tc>
          <w:tcPr>
            <w:tcW w:w="899" w:type="pct"/>
            <w:tcBorders>
              <w:top w:val="nil"/>
              <w:left w:val="nil"/>
              <w:bottom w:val="nil"/>
              <w:right w:val="nil"/>
            </w:tcBorders>
            <w:shd w:val="clear" w:color="000000" w:fill="D9E1F2"/>
            <w:noWrap/>
            <w:vAlign w:val="bottom"/>
            <w:hideMark/>
          </w:tcPr>
          <w:p w:rsidR="00ED1F12" w:rsidRPr="00ED1F12" w:rsidRDefault="00ED1F12" w:rsidP="00ED1F12">
            <w:pPr>
              <w:rPr>
                <w:rFonts w:eastAsia="Times New Roman"/>
                <w:color w:val="000000"/>
                <w:sz w:val="20"/>
                <w:szCs w:val="20"/>
                <w:lang w:eastAsia="it-IT"/>
              </w:rPr>
            </w:pPr>
            <w:r w:rsidRPr="00ED1F12">
              <w:rPr>
                <w:rFonts w:eastAsia="Times New Roman"/>
                <w:color w:val="000000"/>
                <w:sz w:val="20"/>
                <w:szCs w:val="20"/>
                <w:lang w:eastAsia="it-IT"/>
              </w:rPr>
              <w:t xml:space="preserve">           889.107.766   </w:t>
            </w:r>
          </w:p>
        </w:tc>
        <w:tc>
          <w:tcPr>
            <w:tcW w:w="361" w:type="pct"/>
            <w:tcBorders>
              <w:top w:val="nil"/>
              <w:left w:val="nil"/>
              <w:bottom w:val="nil"/>
              <w:right w:val="nil"/>
            </w:tcBorders>
            <w:shd w:val="clear" w:color="000000" w:fill="D9E1F2"/>
            <w:noWrap/>
            <w:vAlign w:val="bottom"/>
            <w:hideMark/>
          </w:tcPr>
          <w:p w:rsidR="00ED1F12" w:rsidRPr="00ED1F12" w:rsidRDefault="00ED1F12" w:rsidP="00ED1F12">
            <w:pPr>
              <w:jc w:val="right"/>
              <w:rPr>
                <w:rFonts w:eastAsia="Times New Roman"/>
                <w:color w:val="000000"/>
                <w:sz w:val="20"/>
                <w:szCs w:val="20"/>
                <w:lang w:eastAsia="it-IT"/>
              </w:rPr>
            </w:pPr>
            <w:r w:rsidRPr="00ED1F12">
              <w:rPr>
                <w:rFonts w:eastAsia="Times New Roman"/>
                <w:color w:val="000000"/>
                <w:sz w:val="20"/>
                <w:szCs w:val="20"/>
                <w:lang w:eastAsia="it-IT"/>
              </w:rPr>
              <w:t>5%</w:t>
            </w:r>
          </w:p>
        </w:tc>
      </w:tr>
      <w:tr w:rsidR="00ED1F12" w:rsidRPr="00ED1F12" w:rsidTr="00ED1F12">
        <w:trPr>
          <w:trHeight w:val="270"/>
        </w:trPr>
        <w:tc>
          <w:tcPr>
            <w:tcW w:w="1259" w:type="pct"/>
            <w:tcBorders>
              <w:top w:val="nil"/>
              <w:left w:val="nil"/>
              <w:bottom w:val="nil"/>
              <w:right w:val="nil"/>
            </w:tcBorders>
            <w:shd w:val="clear" w:color="auto" w:fill="auto"/>
            <w:noWrap/>
            <w:vAlign w:val="bottom"/>
            <w:hideMark/>
          </w:tcPr>
          <w:p w:rsidR="00ED1F12" w:rsidRPr="00ED1F12" w:rsidRDefault="00ED1F12" w:rsidP="00ED1F12">
            <w:pPr>
              <w:rPr>
                <w:rFonts w:eastAsia="Times New Roman"/>
                <w:color w:val="000000"/>
                <w:sz w:val="20"/>
                <w:szCs w:val="20"/>
                <w:lang w:eastAsia="it-IT"/>
              </w:rPr>
            </w:pPr>
            <w:r w:rsidRPr="00ED1F12">
              <w:rPr>
                <w:rFonts w:eastAsia="Times New Roman"/>
                <w:color w:val="000000"/>
                <w:sz w:val="20"/>
                <w:szCs w:val="20"/>
                <w:lang w:eastAsia="it-IT"/>
              </w:rPr>
              <w:t>Africa settentrionale</w:t>
            </w:r>
          </w:p>
        </w:tc>
        <w:tc>
          <w:tcPr>
            <w:tcW w:w="846" w:type="pct"/>
            <w:tcBorders>
              <w:top w:val="nil"/>
              <w:left w:val="nil"/>
              <w:bottom w:val="nil"/>
              <w:right w:val="nil"/>
            </w:tcBorders>
            <w:shd w:val="clear" w:color="auto" w:fill="auto"/>
            <w:noWrap/>
            <w:vAlign w:val="bottom"/>
            <w:hideMark/>
          </w:tcPr>
          <w:p w:rsidR="00ED1F12" w:rsidRPr="00ED1F12" w:rsidRDefault="00ED1F12" w:rsidP="00ED1F12">
            <w:pPr>
              <w:rPr>
                <w:rFonts w:eastAsia="Times New Roman"/>
                <w:color w:val="000000"/>
                <w:sz w:val="20"/>
                <w:szCs w:val="20"/>
                <w:lang w:eastAsia="it-IT"/>
              </w:rPr>
            </w:pPr>
            <w:r w:rsidRPr="00ED1F12">
              <w:rPr>
                <w:rFonts w:eastAsia="Times New Roman"/>
                <w:color w:val="000000"/>
                <w:sz w:val="20"/>
                <w:szCs w:val="20"/>
                <w:lang w:eastAsia="it-IT"/>
              </w:rPr>
              <w:t xml:space="preserve">          328.680.084   </w:t>
            </w:r>
          </w:p>
        </w:tc>
        <w:tc>
          <w:tcPr>
            <w:tcW w:w="353" w:type="pct"/>
            <w:tcBorders>
              <w:top w:val="nil"/>
              <w:left w:val="nil"/>
              <w:bottom w:val="nil"/>
              <w:right w:val="nil"/>
            </w:tcBorders>
            <w:shd w:val="clear" w:color="auto" w:fill="auto"/>
            <w:noWrap/>
            <w:vAlign w:val="bottom"/>
            <w:hideMark/>
          </w:tcPr>
          <w:p w:rsidR="00ED1F12" w:rsidRPr="00ED1F12" w:rsidRDefault="00ED1F12" w:rsidP="00ED1F12">
            <w:pPr>
              <w:jc w:val="right"/>
              <w:rPr>
                <w:rFonts w:eastAsia="Times New Roman"/>
                <w:color w:val="000000"/>
                <w:sz w:val="20"/>
                <w:szCs w:val="20"/>
                <w:lang w:eastAsia="it-IT"/>
              </w:rPr>
            </w:pPr>
            <w:r w:rsidRPr="00ED1F12">
              <w:rPr>
                <w:rFonts w:eastAsia="Times New Roman"/>
                <w:color w:val="000000"/>
                <w:sz w:val="20"/>
                <w:szCs w:val="20"/>
                <w:lang w:eastAsia="it-IT"/>
              </w:rPr>
              <w:t>4%</w:t>
            </w:r>
          </w:p>
        </w:tc>
        <w:tc>
          <w:tcPr>
            <w:tcW w:w="1282" w:type="pct"/>
            <w:tcBorders>
              <w:top w:val="nil"/>
              <w:left w:val="single" w:sz="4" w:space="0" w:color="auto"/>
              <w:bottom w:val="nil"/>
              <w:right w:val="nil"/>
            </w:tcBorders>
            <w:shd w:val="clear" w:color="auto" w:fill="auto"/>
            <w:noWrap/>
            <w:vAlign w:val="bottom"/>
            <w:hideMark/>
          </w:tcPr>
          <w:p w:rsidR="00ED1F12" w:rsidRPr="00ED1F12" w:rsidRDefault="00ED1F12" w:rsidP="00ED1F12">
            <w:pPr>
              <w:rPr>
                <w:rFonts w:eastAsia="Times New Roman"/>
                <w:color w:val="000000"/>
                <w:sz w:val="20"/>
                <w:szCs w:val="20"/>
                <w:lang w:eastAsia="it-IT"/>
              </w:rPr>
            </w:pPr>
            <w:r w:rsidRPr="00ED1F12">
              <w:rPr>
                <w:rFonts w:eastAsia="Times New Roman"/>
                <w:color w:val="000000"/>
                <w:sz w:val="20"/>
                <w:szCs w:val="20"/>
                <w:lang w:eastAsia="it-IT"/>
              </w:rPr>
              <w:t xml:space="preserve"> Oceania e altri  </w:t>
            </w:r>
          </w:p>
        </w:tc>
        <w:tc>
          <w:tcPr>
            <w:tcW w:w="899" w:type="pct"/>
            <w:tcBorders>
              <w:top w:val="nil"/>
              <w:left w:val="nil"/>
              <w:bottom w:val="nil"/>
              <w:right w:val="nil"/>
            </w:tcBorders>
            <w:shd w:val="clear" w:color="auto" w:fill="auto"/>
            <w:noWrap/>
            <w:vAlign w:val="bottom"/>
            <w:hideMark/>
          </w:tcPr>
          <w:p w:rsidR="00ED1F12" w:rsidRPr="00ED1F12" w:rsidRDefault="00ED1F12" w:rsidP="00ED1F12">
            <w:pPr>
              <w:rPr>
                <w:rFonts w:eastAsia="Times New Roman"/>
                <w:color w:val="000000"/>
                <w:sz w:val="20"/>
                <w:szCs w:val="20"/>
                <w:lang w:eastAsia="it-IT"/>
              </w:rPr>
            </w:pPr>
            <w:r w:rsidRPr="00ED1F12">
              <w:rPr>
                <w:rFonts w:eastAsia="Times New Roman"/>
                <w:color w:val="000000"/>
                <w:sz w:val="20"/>
                <w:szCs w:val="20"/>
                <w:lang w:eastAsia="it-IT"/>
              </w:rPr>
              <w:t xml:space="preserve">           768.677.792   </w:t>
            </w:r>
          </w:p>
        </w:tc>
        <w:tc>
          <w:tcPr>
            <w:tcW w:w="361" w:type="pct"/>
            <w:tcBorders>
              <w:top w:val="nil"/>
              <w:left w:val="nil"/>
              <w:bottom w:val="nil"/>
              <w:right w:val="nil"/>
            </w:tcBorders>
            <w:shd w:val="clear" w:color="auto" w:fill="auto"/>
            <w:noWrap/>
            <w:vAlign w:val="bottom"/>
            <w:hideMark/>
          </w:tcPr>
          <w:p w:rsidR="00ED1F12" w:rsidRPr="00ED1F12" w:rsidRDefault="00ED1F12" w:rsidP="00ED1F12">
            <w:pPr>
              <w:jc w:val="right"/>
              <w:rPr>
                <w:rFonts w:eastAsia="Times New Roman"/>
                <w:color w:val="000000"/>
                <w:sz w:val="20"/>
                <w:szCs w:val="20"/>
                <w:lang w:eastAsia="it-IT"/>
              </w:rPr>
            </w:pPr>
            <w:r w:rsidRPr="00ED1F12">
              <w:rPr>
                <w:rFonts w:eastAsia="Times New Roman"/>
                <w:color w:val="000000"/>
                <w:sz w:val="20"/>
                <w:szCs w:val="20"/>
                <w:lang w:eastAsia="it-IT"/>
              </w:rPr>
              <w:t>4%</w:t>
            </w:r>
          </w:p>
        </w:tc>
      </w:tr>
      <w:tr w:rsidR="00ED1F12" w:rsidRPr="00ED1F12" w:rsidTr="00ED1F12">
        <w:trPr>
          <w:trHeight w:val="270"/>
        </w:trPr>
        <w:tc>
          <w:tcPr>
            <w:tcW w:w="1259" w:type="pct"/>
            <w:tcBorders>
              <w:top w:val="nil"/>
              <w:left w:val="nil"/>
              <w:bottom w:val="nil"/>
              <w:right w:val="nil"/>
            </w:tcBorders>
            <w:shd w:val="clear" w:color="000000" w:fill="D9E1F2"/>
            <w:noWrap/>
            <w:vAlign w:val="bottom"/>
            <w:hideMark/>
          </w:tcPr>
          <w:p w:rsidR="00ED1F12" w:rsidRPr="00ED1F12" w:rsidRDefault="00ED1F12" w:rsidP="00ED1F12">
            <w:pPr>
              <w:rPr>
                <w:rFonts w:eastAsia="Times New Roman"/>
                <w:color w:val="000000"/>
                <w:sz w:val="20"/>
                <w:szCs w:val="20"/>
                <w:lang w:eastAsia="it-IT"/>
              </w:rPr>
            </w:pPr>
            <w:r w:rsidRPr="00ED1F12">
              <w:rPr>
                <w:rFonts w:eastAsia="Times New Roman"/>
                <w:color w:val="000000"/>
                <w:sz w:val="20"/>
                <w:szCs w:val="20"/>
                <w:lang w:eastAsia="it-IT"/>
              </w:rPr>
              <w:t>Altri paesi africani</w:t>
            </w:r>
          </w:p>
        </w:tc>
        <w:tc>
          <w:tcPr>
            <w:tcW w:w="846" w:type="pct"/>
            <w:tcBorders>
              <w:top w:val="nil"/>
              <w:left w:val="nil"/>
              <w:bottom w:val="nil"/>
              <w:right w:val="nil"/>
            </w:tcBorders>
            <w:shd w:val="clear" w:color="000000" w:fill="D9E1F2"/>
            <w:noWrap/>
            <w:vAlign w:val="bottom"/>
            <w:hideMark/>
          </w:tcPr>
          <w:p w:rsidR="00ED1F12" w:rsidRPr="00ED1F12" w:rsidRDefault="00ED1F12" w:rsidP="00ED1F12">
            <w:pPr>
              <w:rPr>
                <w:rFonts w:eastAsia="Times New Roman"/>
                <w:color w:val="000000"/>
                <w:sz w:val="20"/>
                <w:szCs w:val="20"/>
                <w:lang w:eastAsia="it-IT"/>
              </w:rPr>
            </w:pPr>
            <w:r w:rsidRPr="00ED1F12">
              <w:rPr>
                <w:rFonts w:eastAsia="Times New Roman"/>
                <w:color w:val="000000"/>
                <w:sz w:val="20"/>
                <w:szCs w:val="20"/>
                <w:lang w:eastAsia="it-IT"/>
              </w:rPr>
              <w:t xml:space="preserve">          206.630.029   </w:t>
            </w:r>
          </w:p>
        </w:tc>
        <w:tc>
          <w:tcPr>
            <w:tcW w:w="353" w:type="pct"/>
            <w:tcBorders>
              <w:top w:val="nil"/>
              <w:left w:val="nil"/>
              <w:bottom w:val="nil"/>
              <w:right w:val="nil"/>
            </w:tcBorders>
            <w:shd w:val="clear" w:color="000000" w:fill="D9E1F2"/>
            <w:noWrap/>
            <w:vAlign w:val="bottom"/>
            <w:hideMark/>
          </w:tcPr>
          <w:p w:rsidR="00ED1F12" w:rsidRPr="00ED1F12" w:rsidRDefault="00ED1F12" w:rsidP="00ED1F12">
            <w:pPr>
              <w:jc w:val="right"/>
              <w:rPr>
                <w:rFonts w:eastAsia="Times New Roman"/>
                <w:color w:val="000000"/>
                <w:sz w:val="20"/>
                <w:szCs w:val="20"/>
                <w:lang w:eastAsia="it-IT"/>
              </w:rPr>
            </w:pPr>
            <w:r w:rsidRPr="00ED1F12">
              <w:rPr>
                <w:rFonts w:eastAsia="Times New Roman"/>
                <w:color w:val="000000"/>
                <w:sz w:val="20"/>
                <w:szCs w:val="20"/>
                <w:lang w:eastAsia="it-IT"/>
              </w:rPr>
              <w:t>2%</w:t>
            </w:r>
          </w:p>
        </w:tc>
        <w:tc>
          <w:tcPr>
            <w:tcW w:w="1282" w:type="pct"/>
            <w:tcBorders>
              <w:top w:val="nil"/>
              <w:left w:val="single" w:sz="4" w:space="0" w:color="auto"/>
              <w:bottom w:val="nil"/>
              <w:right w:val="nil"/>
            </w:tcBorders>
            <w:shd w:val="clear" w:color="000000" w:fill="D9E1F2"/>
            <w:noWrap/>
            <w:vAlign w:val="bottom"/>
            <w:hideMark/>
          </w:tcPr>
          <w:p w:rsidR="00ED1F12" w:rsidRPr="00ED1F12" w:rsidRDefault="00ED1F12" w:rsidP="00ED1F12">
            <w:pPr>
              <w:rPr>
                <w:rFonts w:eastAsia="Times New Roman"/>
                <w:color w:val="000000"/>
                <w:sz w:val="20"/>
                <w:szCs w:val="20"/>
                <w:lang w:eastAsia="it-IT"/>
              </w:rPr>
            </w:pPr>
            <w:r w:rsidRPr="00ED1F12">
              <w:rPr>
                <w:rFonts w:eastAsia="Times New Roman"/>
                <w:color w:val="000000"/>
                <w:sz w:val="20"/>
                <w:szCs w:val="20"/>
                <w:lang w:eastAsia="it-IT"/>
              </w:rPr>
              <w:t xml:space="preserve"> Altri paesi africani </w:t>
            </w:r>
          </w:p>
        </w:tc>
        <w:tc>
          <w:tcPr>
            <w:tcW w:w="899" w:type="pct"/>
            <w:tcBorders>
              <w:top w:val="nil"/>
              <w:left w:val="nil"/>
              <w:bottom w:val="nil"/>
              <w:right w:val="nil"/>
            </w:tcBorders>
            <w:shd w:val="clear" w:color="000000" w:fill="D9E1F2"/>
            <w:noWrap/>
            <w:vAlign w:val="bottom"/>
            <w:hideMark/>
          </w:tcPr>
          <w:p w:rsidR="00ED1F12" w:rsidRPr="00ED1F12" w:rsidRDefault="00ED1F12" w:rsidP="00ED1F12">
            <w:pPr>
              <w:rPr>
                <w:rFonts w:eastAsia="Times New Roman"/>
                <w:color w:val="000000"/>
                <w:sz w:val="20"/>
                <w:szCs w:val="20"/>
                <w:lang w:eastAsia="it-IT"/>
              </w:rPr>
            </w:pPr>
            <w:r w:rsidRPr="00ED1F12">
              <w:rPr>
                <w:rFonts w:eastAsia="Times New Roman"/>
                <w:color w:val="000000"/>
                <w:sz w:val="20"/>
                <w:szCs w:val="20"/>
                <w:lang w:eastAsia="it-IT"/>
              </w:rPr>
              <w:t xml:space="preserve">           655.653.748   </w:t>
            </w:r>
          </w:p>
        </w:tc>
        <w:tc>
          <w:tcPr>
            <w:tcW w:w="361" w:type="pct"/>
            <w:tcBorders>
              <w:top w:val="nil"/>
              <w:left w:val="nil"/>
              <w:bottom w:val="nil"/>
              <w:right w:val="nil"/>
            </w:tcBorders>
            <w:shd w:val="clear" w:color="000000" w:fill="D9E1F2"/>
            <w:noWrap/>
            <w:vAlign w:val="bottom"/>
            <w:hideMark/>
          </w:tcPr>
          <w:p w:rsidR="00ED1F12" w:rsidRPr="00ED1F12" w:rsidRDefault="00ED1F12" w:rsidP="00ED1F12">
            <w:pPr>
              <w:jc w:val="right"/>
              <w:rPr>
                <w:rFonts w:eastAsia="Times New Roman"/>
                <w:color w:val="000000"/>
                <w:sz w:val="20"/>
                <w:szCs w:val="20"/>
                <w:lang w:eastAsia="it-IT"/>
              </w:rPr>
            </w:pPr>
            <w:r w:rsidRPr="00ED1F12">
              <w:rPr>
                <w:rFonts w:eastAsia="Times New Roman"/>
                <w:color w:val="000000"/>
                <w:sz w:val="20"/>
                <w:szCs w:val="20"/>
                <w:lang w:eastAsia="it-IT"/>
              </w:rPr>
              <w:t>4%</w:t>
            </w:r>
          </w:p>
        </w:tc>
      </w:tr>
      <w:tr w:rsidR="00ED1F12" w:rsidRPr="00ED1F12" w:rsidTr="00ED1F12">
        <w:trPr>
          <w:trHeight w:val="270"/>
        </w:trPr>
        <w:tc>
          <w:tcPr>
            <w:tcW w:w="1259" w:type="pct"/>
            <w:tcBorders>
              <w:top w:val="nil"/>
              <w:left w:val="nil"/>
              <w:bottom w:val="nil"/>
              <w:right w:val="nil"/>
            </w:tcBorders>
            <w:shd w:val="clear" w:color="auto" w:fill="auto"/>
            <w:noWrap/>
            <w:vAlign w:val="bottom"/>
            <w:hideMark/>
          </w:tcPr>
          <w:p w:rsidR="00ED1F12" w:rsidRPr="00ED1F12" w:rsidRDefault="00ED1F12" w:rsidP="00ED1F12">
            <w:pPr>
              <w:rPr>
                <w:rFonts w:eastAsia="Times New Roman"/>
                <w:color w:val="000000"/>
                <w:sz w:val="20"/>
                <w:szCs w:val="20"/>
                <w:lang w:eastAsia="it-IT"/>
              </w:rPr>
            </w:pPr>
            <w:r w:rsidRPr="00ED1F12">
              <w:rPr>
                <w:rFonts w:eastAsia="Times New Roman"/>
                <w:color w:val="000000"/>
                <w:sz w:val="20"/>
                <w:szCs w:val="20"/>
                <w:lang w:eastAsia="it-IT"/>
              </w:rPr>
              <w:t>Medio Oriente</w:t>
            </w:r>
          </w:p>
        </w:tc>
        <w:tc>
          <w:tcPr>
            <w:tcW w:w="846" w:type="pct"/>
            <w:tcBorders>
              <w:top w:val="nil"/>
              <w:left w:val="nil"/>
              <w:bottom w:val="nil"/>
              <w:right w:val="nil"/>
            </w:tcBorders>
            <w:shd w:val="clear" w:color="auto" w:fill="auto"/>
            <w:noWrap/>
            <w:vAlign w:val="bottom"/>
            <w:hideMark/>
          </w:tcPr>
          <w:p w:rsidR="00ED1F12" w:rsidRPr="00ED1F12" w:rsidRDefault="00ED1F12" w:rsidP="00ED1F12">
            <w:pPr>
              <w:rPr>
                <w:rFonts w:eastAsia="Times New Roman"/>
                <w:color w:val="000000"/>
                <w:sz w:val="20"/>
                <w:szCs w:val="20"/>
                <w:lang w:eastAsia="it-IT"/>
              </w:rPr>
            </w:pPr>
            <w:r w:rsidRPr="00ED1F12">
              <w:rPr>
                <w:rFonts w:eastAsia="Times New Roman"/>
                <w:color w:val="000000"/>
                <w:sz w:val="20"/>
                <w:szCs w:val="20"/>
                <w:lang w:eastAsia="it-IT"/>
              </w:rPr>
              <w:t xml:space="preserve">          175.257.550   </w:t>
            </w:r>
          </w:p>
        </w:tc>
        <w:tc>
          <w:tcPr>
            <w:tcW w:w="353" w:type="pct"/>
            <w:tcBorders>
              <w:top w:val="nil"/>
              <w:left w:val="nil"/>
              <w:bottom w:val="nil"/>
              <w:right w:val="nil"/>
            </w:tcBorders>
            <w:shd w:val="clear" w:color="auto" w:fill="auto"/>
            <w:noWrap/>
            <w:vAlign w:val="bottom"/>
            <w:hideMark/>
          </w:tcPr>
          <w:p w:rsidR="00ED1F12" w:rsidRPr="00ED1F12" w:rsidRDefault="00ED1F12" w:rsidP="00ED1F12">
            <w:pPr>
              <w:jc w:val="right"/>
              <w:rPr>
                <w:rFonts w:eastAsia="Times New Roman"/>
                <w:color w:val="000000"/>
                <w:sz w:val="20"/>
                <w:szCs w:val="20"/>
                <w:lang w:eastAsia="it-IT"/>
              </w:rPr>
            </w:pPr>
            <w:r w:rsidRPr="00ED1F12">
              <w:rPr>
                <w:rFonts w:eastAsia="Times New Roman"/>
                <w:color w:val="000000"/>
                <w:sz w:val="20"/>
                <w:szCs w:val="20"/>
                <w:lang w:eastAsia="it-IT"/>
              </w:rPr>
              <w:t>2%</w:t>
            </w:r>
          </w:p>
        </w:tc>
        <w:tc>
          <w:tcPr>
            <w:tcW w:w="1282" w:type="pct"/>
            <w:tcBorders>
              <w:top w:val="nil"/>
              <w:left w:val="single" w:sz="4" w:space="0" w:color="auto"/>
              <w:bottom w:val="nil"/>
              <w:right w:val="nil"/>
            </w:tcBorders>
            <w:shd w:val="clear" w:color="auto" w:fill="auto"/>
            <w:noWrap/>
            <w:vAlign w:val="bottom"/>
            <w:hideMark/>
          </w:tcPr>
          <w:p w:rsidR="00ED1F12" w:rsidRPr="00ED1F12" w:rsidRDefault="00ED1F12" w:rsidP="00ED1F12">
            <w:pPr>
              <w:rPr>
                <w:rFonts w:eastAsia="Times New Roman"/>
                <w:color w:val="000000"/>
                <w:sz w:val="20"/>
                <w:szCs w:val="20"/>
                <w:lang w:eastAsia="it-IT"/>
              </w:rPr>
            </w:pPr>
            <w:r w:rsidRPr="00ED1F12">
              <w:rPr>
                <w:rFonts w:eastAsia="Times New Roman"/>
                <w:color w:val="000000"/>
                <w:sz w:val="20"/>
                <w:szCs w:val="20"/>
                <w:lang w:eastAsia="it-IT"/>
              </w:rPr>
              <w:t xml:space="preserve"> Asia centrale </w:t>
            </w:r>
          </w:p>
        </w:tc>
        <w:tc>
          <w:tcPr>
            <w:tcW w:w="899" w:type="pct"/>
            <w:tcBorders>
              <w:top w:val="nil"/>
              <w:left w:val="nil"/>
              <w:bottom w:val="nil"/>
              <w:right w:val="nil"/>
            </w:tcBorders>
            <w:shd w:val="clear" w:color="auto" w:fill="auto"/>
            <w:noWrap/>
            <w:vAlign w:val="bottom"/>
            <w:hideMark/>
          </w:tcPr>
          <w:p w:rsidR="00ED1F12" w:rsidRPr="00ED1F12" w:rsidRDefault="00ED1F12" w:rsidP="00ED1F12">
            <w:pPr>
              <w:rPr>
                <w:rFonts w:eastAsia="Times New Roman"/>
                <w:color w:val="000000"/>
                <w:sz w:val="20"/>
                <w:szCs w:val="20"/>
                <w:lang w:eastAsia="it-IT"/>
              </w:rPr>
            </w:pPr>
            <w:r w:rsidRPr="00ED1F12">
              <w:rPr>
                <w:rFonts w:eastAsia="Times New Roman"/>
                <w:color w:val="000000"/>
                <w:sz w:val="20"/>
                <w:szCs w:val="20"/>
                <w:lang w:eastAsia="it-IT"/>
              </w:rPr>
              <w:t xml:space="preserve">           499.761.892   </w:t>
            </w:r>
          </w:p>
        </w:tc>
        <w:tc>
          <w:tcPr>
            <w:tcW w:w="361" w:type="pct"/>
            <w:tcBorders>
              <w:top w:val="nil"/>
              <w:left w:val="nil"/>
              <w:bottom w:val="nil"/>
              <w:right w:val="nil"/>
            </w:tcBorders>
            <w:shd w:val="clear" w:color="auto" w:fill="auto"/>
            <w:noWrap/>
            <w:vAlign w:val="bottom"/>
            <w:hideMark/>
          </w:tcPr>
          <w:p w:rsidR="00ED1F12" w:rsidRPr="00ED1F12" w:rsidRDefault="00ED1F12" w:rsidP="00ED1F12">
            <w:pPr>
              <w:jc w:val="right"/>
              <w:rPr>
                <w:rFonts w:eastAsia="Times New Roman"/>
                <w:color w:val="000000"/>
                <w:sz w:val="20"/>
                <w:szCs w:val="20"/>
                <w:lang w:eastAsia="it-IT"/>
              </w:rPr>
            </w:pPr>
            <w:r w:rsidRPr="00ED1F12">
              <w:rPr>
                <w:rFonts w:eastAsia="Times New Roman"/>
                <w:color w:val="000000"/>
                <w:sz w:val="20"/>
                <w:szCs w:val="20"/>
                <w:lang w:eastAsia="it-IT"/>
              </w:rPr>
              <w:t>3%</w:t>
            </w:r>
          </w:p>
        </w:tc>
      </w:tr>
      <w:tr w:rsidR="00ED1F12" w:rsidRPr="00ED1F12" w:rsidTr="00ED1F12">
        <w:trPr>
          <w:trHeight w:val="270"/>
        </w:trPr>
        <w:tc>
          <w:tcPr>
            <w:tcW w:w="1259" w:type="pct"/>
            <w:tcBorders>
              <w:top w:val="nil"/>
              <w:left w:val="nil"/>
              <w:bottom w:val="nil"/>
              <w:right w:val="nil"/>
            </w:tcBorders>
            <w:shd w:val="clear" w:color="000000" w:fill="D9E1F2"/>
            <w:noWrap/>
            <w:vAlign w:val="bottom"/>
            <w:hideMark/>
          </w:tcPr>
          <w:p w:rsidR="00ED1F12" w:rsidRPr="00ED1F12" w:rsidRDefault="00ED1F12" w:rsidP="00ED1F12">
            <w:pPr>
              <w:rPr>
                <w:rFonts w:eastAsia="Times New Roman"/>
                <w:color w:val="000000"/>
                <w:sz w:val="20"/>
                <w:szCs w:val="20"/>
                <w:lang w:eastAsia="it-IT"/>
              </w:rPr>
            </w:pPr>
            <w:r w:rsidRPr="00ED1F12">
              <w:rPr>
                <w:rFonts w:eastAsia="Times New Roman"/>
                <w:color w:val="000000"/>
                <w:sz w:val="20"/>
                <w:szCs w:val="20"/>
                <w:lang w:eastAsia="it-IT"/>
              </w:rPr>
              <w:t xml:space="preserve">Oceania e altri </w:t>
            </w:r>
          </w:p>
        </w:tc>
        <w:tc>
          <w:tcPr>
            <w:tcW w:w="846" w:type="pct"/>
            <w:tcBorders>
              <w:top w:val="nil"/>
              <w:left w:val="nil"/>
              <w:bottom w:val="nil"/>
              <w:right w:val="nil"/>
            </w:tcBorders>
            <w:shd w:val="clear" w:color="000000" w:fill="D9E1F2"/>
            <w:noWrap/>
            <w:vAlign w:val="bottom"/>
            <w:hideMark/>
          </w:tcPr>
          <w:p w:rsidR="00ED1F12" w:rsidRPr="00ED1F12" w:rsidRDefault="00ED1F12" w:rsidP="00ED1F12">
            <w:pPr>
              <w:rPr>
                <w:rFonts w:eastAsia="Times New Roman"/>
                <w:color w:val="000000"/>
                <w:sz w:val="20"/>
                <w:szCs w:val="20"/>
                <w:lang w:eastAsia="it-IT"/>
              </w:rPr>
            </w:pPr>
            <w:r w:rsidRPr="00ED1F12">
              <w:rPr>
                <w:rFonts w:eastAsia="Times New Roman"/>
                <w:color w:val="000000"/>
                <w:sz w:val="20"/>
                <w:szCs w:val="20"/>
                <w:lang w:eastAsia="it-IT"/>
              </w:rPr>
              <w:t xml:space="preserve">          101.859.336   </w:t>
            </w:r>
          </w:p>
        </w:tc>
        <w:tc>
          <w:tcPr>
            <w:tcW w:w="353" w:type="pct"/>
            <w:tcBorders>
              <w:top w:val="nil"/>
              <w:left w:val="nil"/>
              <w:bottom w:val="nil"/>
              <w:right w:val="nil"/>
            </w:tcBorders>
            <w:shd w:val="clear" w:color="000000" w:fill="D9E1F2"/>
            <w:noWrap/>
            <w:vAlign w:val="bottom"/>
            <w:hideMark/>
          </w:tcPr>
          <w:p w:rsidR="00ED1F12" w:rsidRPr="00ED1F12" w:rsidRDefault="00ED1F12" w:rsidP="00ED1F12">
            <w:pPr>
              <w:jc w:val="right"/>
              <w:rPr>
                <w:rFonts w:eastAsia="Times New Roman"/>
                <w:color w:val="000000"/>
                <w:sz w:val="20"/>
                <w:szCs w:val="20"/>
                <w:lang w:eastAsia="it-IT"/>
              </w:rPr>
            </w:pPr>
            <w:r w:rsidRPr="00ED1F12">
              <w:rPr>
                <w:rFonts w:eastAsia="Times New Roman"/>
                <w:color w:val="000000"/>
                <w:sz w:val="20"/>
                <w:szCs w:val="20"/>
                <w:lang w:eastAsia="it-IT"/>
              </w:rPr>
              <w:t>1%</w:t>
            </w:r>
          </w:p>
        </w:tc>
        <w:tc>
          <w:tcPr>
            <w:tcW w:w="1282" w:type="pct"/>
            <w:tcBorders>
              <w:top w:val="nil"/>
              <w:left w:val="single" w:sz="4" w:space="0" w:color="auto"/>
              <w:bottom w:val="nil"/>
              <w:right w:val="nil"/>
            </w:tcBorders>
            <w:shd w:val="clear" w:color="000000" w:fill="D9E1F2"/>
            <w:noWrap/>
            <w:vAlign w:val="bottom"/>
            <w:hideMark/>
          </w:tcPr>
          <w:p w:rsidR="00ED1F12" w:rsidRPr="00ED1F12" w:rsidRDefault="00ED1F12" w:rsidP="00ED1F12">
            <w:pPr>
              <w:rPr>
                <w:rFonts w:eastAsia="Times New Roman"/>
                <w:color w:val="000000"/>
                <w:sz w:val="20"/>
                <w:szCs w:val="20"/>
                <w:lang w:eastAsia="it-IT"/>
              </w:rPr>
            </w:pPr>
            <w:r w:rsidRPr="00ED1F12">
              <w:rPr>
                <w:rFonts w:eastAsia="Times New Roman"/>
                <w:color w:val="000000"/>
                <w:sz w:val="20"/>
                <w:szCs w:val="20"/>
                <w:lang w:eastAsia="it-IT"/>
              </w:rPr>
              <w:t xml:space="preserve"> UE27 </w:t>
            </w:r>
          </w:p>
        </w:tc>
        <w:tc>
          <w:tcPr>
            <w:tcW w:w="899" w:type="pct"/>
            <w:tcBorders>
              <w:top w:val="nil"/>
              <w:left w:val="nil"/>
              <w:bottom w:val="nil"/>
              <w:right w:val="nil"/>
            </w:tcBorders>
            <w:shd w:val="clear" w:color="000000" w:fill="D9E1F2"/>
            <w:noWrap/>
            <w:vAlign w:val="bottom"/>
            <w:hideMark/>
          </w:tcPr>
          <w:p w:rsidR="00ED1F12" w:rsidRPr="00ED1F12" w:rsidRDefault="00ED1F12" w:rsidP="00ED1F12">
            <w:pPr>
              <w:rPr>
                <w:rFonts w:eastAsia="Times New Roman"/>
                <w:color w:val="000000"/>
                <w:sz w:val="20"/>
                <w:szCs w:val="20"/>
                <w:lang w:eastAsia="it-IT"/>
              </w:rPr>
            </w:pPr>
            <w:r w:rsidRPr="00ED1F12">
              <w:rPr>
                <w:rFonts w:eastAsia="Times New Roman"/>
                <w:color w:val="000000"/>
                <w:sz w:val="20"/>
                <w:szCs w:val="20"/>
                <w:lang w:eastAsia="it-IT"/>
              </w:rPr>
              <w:t xml:space="preserve">           442.106.685   </w:t>
            </w:r>
          </w:p>
        </w:tc>
        <w:tc>
          <w:tcPr>
            <w:tcW w:w="361" w:type="pct"/>
            <w:tcBorders>
              <w:top w:val="nil"/>
              <w:left w:val="nil"/>
              <w:bottom w:val="nil"/>
              <w:right w:val="nil"/>
            </w:tcBorders>
            <w:shd w:val="clear" w:color="000000" w:fill="D9E1F2"/>
            <w:noWrap/>
            <w:vAlign w:val="bottom"/>
            <w:hideMark/>
          </w:tcPr>
          <w:p w:rsidR="00ED1F12" w:rsidRPr="00ED1F12" w:rsidRDefault="00ED1F12" w:rsidP="00ED1F12">
            <w:pPr>
              <w:jc w:val="right"/>
              <w:rPr>
                <w:rFonts w:eastAsia="Times New Roman"/>
                <w:color w:val="000000"/>
                <w:sz w:val="20"/>
                <w:szCs w:val="20"/>
                <w:lang w:eastAsia="it-IT"/>
              </w:rPr>
            </w:pPr>
            <w:r w:rsidRPr="00ED1F12">
              <w:rPr>
                <w:rFonts w:eastAsia="Times New Roman"/>
                <w:color w:val="000000"/>
                <w:sz w:val="20"/>
                <w:szCs w:val="20"/>
                <w:lang w:eastAsia="it-IT"/>
              </w:rPr>
              <w:t>3%</w:t>
            </w:r>
          </w:p>
        </w:tc>
      </w:tr>
      <w:tr w:rsidR="00ED1F12" w:rsidRPr="00ED1F12" w:rsidTr="00ED1F12">
        <w:trPr>
          <w:trHeight w:val="315"/>
        </w:trPr>
        <w:tc>
          <w:tcPr>
            <w:tcW w:w="1259" w:type="pct"/>
            <w:tcBorders>
              <w:top w:val="nil"/>
              <w:left w:val="nil"/>
              <w:bottom w:val="nil"/>
              <w:right w:val="nil"/>
            </w:tcBorders>
            <w:shd w:val="clear" w:color="000000" w:fill="4472C4"/>
            <w:noWrap/>
            <w:vAlign w:val="bottom"/>
            <w:hideMark/>
          </w:tcPr>
          <w:p w:rsidR="00ED1F12" w:rsidRPr="00ED1F12" w:rsidRDefault="00ED1F12" w:rsidP="00ED1F12">
            <w:pPr>
              <w:rPr>
                <w:rFonts w:eastAsia="Times New Roman"/>
                <w:b/>
                <w:bCs/>
                <w:color w:val="FFFFFF"/>
                <w:sz w:val="20"/>
                <w:szCs w:val="20"/>
                <w:lang w:eastAsia="it-IT"/>
              </w:rPr>
            </w:pPr>
            <w:r w:rsidRPr="00ED1F12">
              <w:rPr>
                <w:rFonts w:eastAsia="Times New Roman"/>
                <w:b/>
                <w:bCs/>
                <w:color w:val="FFFFFF"/>
                <w:sz w:val="20"/>
                <w:szCs w:val="20"/>
                <w:lang w:eastAsia="it-IT"/>
              </w:rPr>
              <w:t>MONDO</w:t>
            </w:r>
          </w:p>
        </w:tc>
        <w:tc>
          <w:tcPr>
            <w:tcW w:w="846" w:type="pct"/>
            <w:tcBorders>
              <w:top w:val="nil"/>
              <w:left w:val="nil"/>
              <w:bottom w:val="nil"/>
              <w:right w:val="nil"/>
            </w:tcBorders>
            <w:shd w:val="clear" w:color="000000" w:fill="4472C4"/>
            <w:noWrap/>
            <w:vAlign w:val="bottom"/>
            <w:hideMark/>
          </w:tcPr>
          <w:p w:rsidR="00ED1F12" w:rsidRPr="00ED1F12" w:rsidRDefault="00ED1F12" w:rsidP="00ED1F12">
            <w:pPr>
              <w:rPr>
                <w:rFonts w:eastAsia="Times New Roman"/>
                <w:b/>
                <w:bCs/>
                <w:color w:val="FFFFFF"/>
                <w:sz w:val="18"/>
                <w:szCs w:val="18"/>
                <w:lang w:eastAsia="it-IT"/>
              </w:rPr>
            </w:pPr>
            <w:r w:rsidRPr="00ED1F12">
              <w:rPr>
                <w:rFonts w:eastAsia="Times New Roman"/>
                <w:b/>
                <w:bCs/>
                <w:color w:val="FFFFFF"/>
                <w:sz w:val="18"/>
                <w:szCs w:val="18"/>
                <w:lang w:eastAsia="it-IT"/>
              </w:rPr>
              <w:t xml:space="preserve">       8.957.195.659   </w:t>
            </w:r>
          </w:p>
        </w:tc>
        <w:tc>
          <w:tcPr>
            <w:tcW w:w="353" w:type="pct"/>
            <w:tcBorders>
              <w:top w:val="nil"/>
              <w:left w:val="nil"/>
              <w:bottom w:val="nil"/>
              <w:right w:val="nil"/>
            </w:tcBorders>
            <w:shd w:val="clear" w:color="000000" w:fill="4472C4"/>
            <w:noWrap/>
            <w:vAlign w:val="bottom"/>
            <w:hideMark/>
          </w:tcPr>
          <w:p w:rsidR="00ED1F12" w:rsidRPr="00ED1F12" w:rsidRDefault="00ED1F12" w:rsidP="00ED1F12">
            <w:pPr>
              <w:jc w:val="right"/>
              <w:rPr>
                <w:rFonts w:eastAsia="Times New Roman"/>
                <w:b/>
                <w:bCs/>
                <w:color w:val="FFFFFF"/>
                <w:sz w:val="18"/>
                <w:szCs w:val="18"/>
                <w:lang w:eastAsia="it-IT"/>
              </w:rPr>
            </w:pPr>
            <w:r w:rsidRPr="00ED1F12">
              <w:rPr>
                <w:rFonts w:eastAsia="Times New Roman"/>
                <w:b/>
                <w:bCs/>
                <w:color w:val="FFFFFF"/>
                <w:sz w:val="18"/>
                <w:szCs w:val="18"/>
                <w:lang w:eastAsia="it-IT"/>
              </w:rPr>
              <w:t>100%</w:t>
            </w:r>
          </w:p>
        </w:tc>
        <w:tc>
          <w:tcPr>
            <w:tcW w:w="1282" w:type="pct"/>
            <w:tcBorders>
              <w:top w:val="nil"/>
              <w:left w:val="single" w:sz="4" w:space="0" w:color="auto"/>
              <w:bottom w:val="nil"/>
              <w:right w:val="nil"/>
            </w:tcBorders>
            <w:shd w:val="clear" w:color="000000" w:fill="4472C4"/>
            <w:noWrap/>
            <w:vAlign w:val="bottom"/>
            <w:hideMark/>
          </w:tcPr>
          <w:p w:rsidR="00ED1F12" w:rsidRPr="00ED1F12" w:rsidRDefault="00ED1F12" w:rsidP="00ED1F12">
            <w:pPr>
              <w:rPr>
                <w:rFonts w:eastAsia="Times New Roman"/>
                <w:b/>
                <w:bCs/>
                <w:color w:val="FFFFFF"/>
                <w:sz w:val="18"/>
                <w:szCs w:val="18"/>
                <w:lang w:eastAsia="it-IT"/>
              </w:rPr>
            </w:pPr>
            <w:r w:rsidRPr="00ED1F12">
              <w:rPr>
                <w:rFonts w:eastAsia="Times New Roman"/>
                <w:b/>
                <w:bCs/>
                <w:color w:val="FFFFFF"/>
                <w:sz w:val="18"/>
                <w:szCs w:val="18"/>
                <w:lang w:eastAsia="it-IT"/>
              </w:rPr>
              <w:t xml:space="preserve"> MONDO </w:t>
            </w:r>
          </w:p>
        </w:tc>
        <w:tc>
          <w:tcPr>
            <w:tcW w:w="899" w:type="pct"/>
            <w:tcBorders>
              <w:top w:val="nil"/>
              <w:left w:val="nil"/>
              <w:bottom w:val="nil"/>
              <w:right w:val="nil"/>
            </w:tcBorders>
            <w:shd w:val="clear" w:color="000000" w:fill="4472C4"/>
            <w:noWrap/>
            <w:vAlign w:val="bottom"/>
            <w:hideMark/>
          </w:tcPr>
          <w:p w:rsidR="00ED1F12" w:rsidRPr="00ED1F12" w:rsidRDefault="00ED1F12" w:rsidP="00ED1F12">
            <w:pPr>
              <w:rPr>
                <w:rFonts w:eastAsia="Times New Roman"/>
                <w:b/>
                <w:bCs/>
                <w:color w:val="FFFFFF"/>
                <w:sz w:val="18"/>
                <w:szCs w:val="18"/>
                <w:lang w:eastAsia="it-IT"/>
              </w:rPr>
            </w:pPr>
            <w:r w:rsidRPr="00ED1F12">
              <w:rPr>
                <w:rFonts w:eastAsia="Times New Roman"/>
                <w:b/>
                <w:bCs/>
                <w:color w:val="FFFFFF"/>
                <w:sz w:val="18"/>
                <w:szCs w:val="18"/>
                <w:lang w:eastAsia="it-IT"/>
              </w:rPr>
              <w:t xml:space="preserve">       17.103.280.779   </w:t>
            </w:r>
          </w:p>
        </w:tc>
        <w:tc>
          <w:tcPr>
            <w:tcW w:w="361" w:type="pct"/>
            <w:tcBorders>
              <w:top w:val="nil"/>
              <w:left w:val="nil"/>
              <w:bottom w:val="nil"/>
              <w:right w:val="nil"/>
            </w:tcBorders>
            <w:shd w:val="clear" w:color="000000" w:fill="4472C4"/>
            <w:noWrap/>
            <w:vAlign w:val="bottom"/>
            <w:hideMark/>
          </w:tcPr>
          <w:p w:rsidR="00ED1F12" w:rsidRPr="00ED1F12" w:rsidRDefault="00ED1F12" w:rsidP="00ED1F12">
            <w:pPr>
              <w:jc w:val="right"/>
              <w:rPr>
                <w:rFonts w:eastAsia="Times New Roman"/>
                <w:b/>
                <w:bCs/>
                <w:color w:val="FFFFFF"/>
                <w:sz w:val="18"/>
                <w:szCs w:val="18"/>
                <w:lang w:eastAsia="it-IT"/>
              </w:rPr>
            </w:pPr>
            <w:r w:rsidRPr="00ED1F12">
              <w:rPr>
                <w:rFonts w:eastAsia="Times New Roman"/>
                <w:b/>
                <w:bCs/>
                <w:color w:val="FFFFFF"/>
                <w:sz w:val="18"/>
                <w:szCs w:val="18"/>
                <w:lang w:eastAsia="it-IT"/>
              </w:rPr>
              <w:t>100%</w:t>
            </w:r>
          </w:p>
        </w:tc>
      </w:tr>
    </w:tbl>
    <w:p w:rsidR="00ED1F12" w:rsidRPr="00600799" w:rsidRDefault="00EB2B28" w:rsidP="00ED1F12">
      <w:pPr>
        <w:rPr>
          <w:sz w:val="20"/>
          <w:szCs w:val="20"/>
        </w:rPr>
      </w:pPr>
      <w:proofErr w:type="spellStart"/>
      <w:r w:rsidRPr="00600799">
        <w:rPr>
          <w:sz w:val="20"/>
          <w:szCs w:val="20"/>
        </w:rPr>
        <w:t>Tab</w:t>
      </w:r>
      <w:proofErr w:type="spellEnd"/>
      <w:r w:rsidR="00ED1F12" w:rsidRPr="00600799">
        <w:rPr>
          <w:sz w:val="20"/>
          <w:szCs w:val="20"/>
        </w:rPr>
        <w:t xml:space="preserve">. 1 - Fonte: SRM su </w:t>
      </w:r>
      <w:proofErr w:type="spellStart"/>
      <w:r w:rsidR="00ED1F12" w:rsidRPr="00600799">
        <w:rPr>
          <w:sz w:val="20"/>
          <w:szCs w:val="20"/>
        </w:rPr>
        <w:t>Coeweb</w:t>
      </w:r>
      <w:proofErr w:type="spellEnd"/>
    </w:p>
    <w:p w:rsidR="009A071A" w:rsidRDefault="009A071A">
      <w:pPr>
        <w:rPr>
          <w:sz w:val="18"/>
          <w:szCs w:val="18"/>
        </w:rPr>
      </w:pPr>
    </w:p>
    <w:p w:rsidR="000B3273" w:rsidRDefault="00832536" w:rsidP="006266D9">
      <w:pPr>
        <w:ind w:right="-143"/>
        <w:jc w:val="both"/>
        <w:rPr>
          <w:sz w:val="24"/>
          <w:szCs w:val="24"/>
        </w:rPr>
      </w:pPr>
      <w:r w:rsidRPr="00832536">
        <w:rPr>
          <w:sz w:val="24"/>
          <w:szCs w:val="24"/>
        </w:rPr>
        <w:t xml:space="preserve">Per quanto riguarda le merci importate ed </w:t>
      </w:r>
      <w:r>
        <w:rPr>
          <w:sz w:val="24"/>
          <w:szCs w:val="24"/>
        </w:rPr>
        <w:t>esportate</w:t>
      </w:r>
      <w:r w:rsidR="006266D9">
        <w:rPr>
          <w:sz w:val="24"/>
          <w:szCs w:val="24"/>
        </w:rPr>
        <w:t xml:space="preserve"> via mare dall’Emilia Romagna nel corso del 2020, al primo posto sia in import sia in export compaiono i macchinari; attività tipica della regione. </w:t>
      </w:r>
    </w:p>
    <w:p w:rsidR="007062E8" w:rsidRDefault="007062E8" w:rsidP="006266D9">
      <w:pPr>
        <w:ind w:right="-143"/>
        <w:jc w:val="both"/>
        <w:rPr>
          <w:sz w:val="24"/>
          <w:szCs w:val="24"/>
        </w:rPr>
      </w:pPr>
    </w:p>
    <w:p w:rsidR="006266D9" w:rsidRDefault="006266D9" w:rsidP="006266D9">
      <w:pPr>
        <w:ind w:right="-143"/>
        <w:jc w:val="both"/>
        <w:rPr>
          <w:sz w:val="24"/>
          <w:szCs w:val="24"/>
        </w:rPr>
      </w:pPr>
      <w:r>
        <w:rPr>
          <w:sz w:val="24"/>
          <w:szCs w:val="24"/>
        </w:rPr>
        <w:t>In particolare</w:t>
      </w:r>
      <w:r w:rsidR="00A71139">
        <w:rPr>
          <w:sz w:val="24"/>
          <w:szCs w:val="24"/>
        </w:rPr>
        <w:t>,</w:t>
      </w:r>
      <w:r>
        <w:rPr>
          <w:sz w:val="24"/>
          <w:szCs w:val="24"/>
        </w:rPr>
        <w:t xml:space="preserve"> in import alle macchine con una quota sull’import complessivo del 19% seguono l’alimentare con una quota del 18%, poi i metalli al terzo posto con una quota del 15%, successivamente il tessile abbigliamento con una quota del 13% e la </w:t>
      </w:r>
      <w:proofErr w:type="spellStart"/>
      <w:r>
        <w:rPr>
          <w:sz w:val="24"/>
          <w:szCs w:val="24"/>
        </w:rPr>
        <w:t>chimica&amp;plastica</w:t>
      </w:r>
      <w:proofErr w:type="spellEnd"/>
      <w:r>
        <w:rPr>
          <w:sz w:val="24"/>
          <w:szCs w:val="24"/>
        </w:rPr>
        <w:t xml:space="preserve"> con il 10%. Via via seguono poi gli altri comparti con quote inferiori alla doppia cifra. In export, invece, dopo le macchine che coprono una quota pari ben al 41%, seguono i mezzi di trasporto con il 19% e l’alimentare con il 16%. Seguono poi i minerali non metalliferi e la </w:t>
      </w:r>
      <w:proofErr w:type="spellStart"/>
      <w:r>
        <w:rPr>
          <w:sz w:val="24"/>
          <w:szCs w:val="24"/>
        </w:rPr>
        <w:t>chimica&amp;plastica</w:t>
      </w:r>
      <w:proofErr w:type="spellEnd"/>
      <w:r>
        <w:rPr>
          <w:sz w:val="24"/>
          <w:szCs w:val="24"/>
        </w:rPr>
        <w:t xml:space="preserve"> con un export superiore al miliardo (con una quota dell’8%) e successivamente settori con valori inferiori al 5% di peso sul volume complessivo esportato via mare.</w:t>
      </w:r>
    </w:p>
    <w:p w:rsidR="006266D9" w:rsidRDefault="006266D9" w:rsidP="006266D9">
      <w:pPr>
        <w:autoSpaceDE w:val="0"/>
        <w:autoSpaceDN w:val="0"/>
        <w:adjustRightInd w:val="0"/>
        <w:jc w:val="both"/>
        <w:rPr>
          <w:sz w:val="24"/>
          <w:szCs w:val="24"/>
        </w:rPr>
      </w:pPr>
    </w:p>
    <w:p w:rsidR="006266D9" w:rsidRPr="009A071A" w:rsidRDefault="006266D9" w:rsidP="006266D9">
      <w:pPr>
        <w:autoSpaceDE w:val="0"/>
        <w:autoSpaceDN w:val="0"/>
        <w:adjustRightInd w:val="0"/>
        <w:jc w:val="both"/>
        <w:rPr>
          <w:sz w:val="24"/>
          <w:szCs w:val="24"/>
        </w:rPr>
      </w:pPr>
      <w:r>
        <w:rPr>
          <w:sz w:val="24"/>
          <w:szCs w:val="24"/>
        </w:rPr>
        <w:t>Merci di import-export marittimo dell’Emilia-Romagna – dati in euro e % anno 2020</w:t>
      </w:r>
    </w:p>
    <w:tbl>
      <w:tblPr>
        <w:tblW w:w="5073" w:type="pct"/>
        <w:tblLayout w:type="fixed"/>
        <w:tblCellMar>
          <w:left w:w="70" w:type="dxa"/>
          <w:right w:w="70" w:type="dxa"/>
        </w:tblCellMar>
        <w:tblLook w:val="04A0" w:firstRow="1" w:lastRow="0" w:firstColumn="1" w:lastColumn="0" w:noHBand="0" w:noVBand="1"/>
      </w:tblPr>
      <w:tblGrid>
        <w:gridCol w:w="2877"/>
        <w:gridCol w:w="1516"/>
        <w:gridCol w:w="641"/>
        <w:gridCol w:w="2737"/>
        <w:gridCol w:w="181"/>
        <w:gridCol w:w="1189"/>
        <w:gridCol w:w="181"/>
        <w:gridCol w:w="284"/>
        <w:gridCol w:w="318"/>
      </w:tblGrid>
      <w:tr w:rsidR="00832536" w:rsidRPr="00832536" w:rsidTr="00832536">
        <w:trPr>
          <w:trHeight w:val="315"/>
        </w:trPr>
        <w:tc>
          <w:tcPr>
            <w:tcW w:w="1450" w:type="pct"/>
            <w:tcBorders>
              <w:top w:val="nil"/>
              <w:left w:val="nil"/>
              <w:bottom w:val="nil"/>
              <w:right w:val="nil"/>
            </w:tcBorders>
            <w:shd w:val="clear" w:color="000000" w:fill="4472C4"/>
            <w:noWrap/>
            <w:vAlign w:val="bottom"/>
            <w:hideMark/>
          </w:tcPr>
          <w:p w:rsidR="00832536" w:rsidRPr="00832536" w:rsidRDefault="00832536" w:rsidP="00832536">
            <w:pPr>
              <w:rPr>
                <w:rFonts w:asciiTheme="minorHAnsi" w:eastAsia="Times New Roman" w:hAnsiTheme="minorHAnsi" w:cstheme="minorHAnsi"/>
                <w:b/>
                <w:bCs/>
                <w:color w:val="FFFFFF"/>
                <w:sz w:val="16"/>
                <w:szCs w:val="16"/>
                <w:lang w:eastAsia="it-IT"/>
              </w:rPr>
            </w:pPr>
            <w:r w:rsidRPr="00832536">
              <w:rPr>
                <w:rFonts w:asciiTheme="minorHAnsi" w:eastAsia="Times New Roman" w:hAnsiTheme="minorHAnsi" w:cstheme="minorHAnsi"/>
                <w:b/>
                <w:bCs/>
                <w:color w:val="FFFFFF"/>
                <w:sz w:val="16"/>
                <w:szCs w:val="16"/>
                <w:lang w:eastAsia="it-IT"/>
              </w:rPr>
              <w:t>Merce</w:t>
            </w:r>
          </w:p>
        </w:tc>
        <w:tc>
          <w:tcPr>
            <w:tcW w:w="764" w:type="pct"/>
            <w:tcBorders>
              <w:top w:val="nil"/>
              <w:left w:val="nil"/>
              <w:bottom w:val="nil"/>
              <w:right w:val="nil"/>
            </w:tcBorders>
            <w:shd w:val="clear" w:color="000000" w:fill="4472C4"/>
            <w:noWrap/>
            <w:vAlign w:val="bottom"/>
            <w:hideMark/>
          </w:tcPr>
          <w:p w:rsidR="00832536" w:rsidRPr="00832536" w:rsidRDefault="00832536" w:rsidP="00832536">
            <w:pPr>
              <w:ind w:left="-255" w:right="149" w:firstLine="284"/>
              <w:rPr>
                <w:rFonts w:asciiTheme="minorHAnsi" w:eastAsia="Times New Roman" w:hAnsiTheme="minorHAnsi" w:cstheme="minorHAnsi"/>
                <w:b/>
                <w:bCs/>
                <w:color w:val="FFFFFF"/>
                <w:sz w:val="16"/>
                <w:szCs w:val="16"/>
                <w:lang w:eastAsia="it-IT"/>
              </w:rPr>
            </w:pPr>
            <w:r w:rsidRPr="00832536">
              <w:rPr>
                <w:rFonts w:asciiTheme="minorHAnsi" w:eastAsia="Times New Roman" w:hAnsiTheme="minorHAnsi" w:cstheme="minorHAnsi"/>
                <w:b/>
                <w:bCs/>
                <w:color w:val="FFFFFF"/>
                <w:sz w:val="16"/>
                <w:szCs w:val="16"/>
                <w:lang w:eastAsia="it-IT"/>
              </w:rPr>
              <w:t>Import</w:t>
            </w:r>
          </w:p>
        </w:tc>
        <w:tc>
          <w:tcPr>
            <w:tcW w:w="323" w:type="pct"/>
            <w:tcBorders>
              <w:top w:val="nil"/>
              <w:left w:val="nil"/>
              <w:bottom w:val="nil"/>
              <w:right w:val="nil"/>
            </w:tcBorders>
            <w:shd w:val="clear" w:color="000000" w:fill="4472C4"/>
            <w:noWrap/>
            <w:vAlign w:val="bottom"/>
            <w:hideMark/>
          </w:tcPr>
          <w:p w:rsidR="00832536" w:rsidRPr="00832536" w:rsidRDefault="00832536" w:rsidP="00832536">
            <w:pPr>
              <w:rPr>
                <w:rFonts w:asciiTheme="minorHAnsi" w:eastAsia="Times New Roman" w:hAnsiTheme="minorHAnsi" w:cstheme="minorHAnsi"/>
                <w:b/>
                <w:bCs/>
                <w:color w:val="FFFFFF"/>
                <w:sz w:val="16"/>
                <w:szCs w:val="16"/>
                <w:lang w:eastAsia="it-IT"/>
              </w:rPr>
            </w:pPr>
            <w:r w:rsidRPr="00832536">
              <w:rPr>
                <w:rFonts w:asciiTheme="minorHAnsi" w:eastAsia="Times New Roman" w:hAnsiTheme="minorHAnsi" w:cstheme="minorHAnsi"/>
                <w:b/>
                <w:bCs/>
                <w:color w:val="FFFFFF"/>
                <w:sz w:val="16"/>
                <w:szCs w:val="16"/>
                <w:lang w:eastAsia="it-IT"/>
              </w:rPr>
              <w:t>%</w:t>
            </w:r>
          </w:p>
        </w:tc>
        <w:tc>
          <w:tcPr>
            <w:tcW w:w="1470" w:type="pct"/>
            <w:gridSpan w:val="2"/>
            <w:tcBorders>
              <w:top w:val="nil"/>
              <w:left w:val="single" w:sz="4" w:space="0" w:color="auto"/>
              <w:bottom w:val="nil"/>
              <w:right w:val="nil"/>
            </w:tcBorders>
            <w:shd w:val="clear" w:color="000000" w:fill="4472C4"/>
            <w:noWrap/>
            <w:vAlign w:val="bottom"/>
            <w:hideMark/>
          </w:tcPr>
          <w:p w:rsidR="00832536" w:rsidRPr="00832536" w:rsidRDefault="00832536" w:rsidP="00832536">
            <w:pPr>
              <w:rPr>
                <w:rFonts w:asciiTheme="minorHAnsi" w:eastAsia="Times New Roman" w:hAnsiTheme="minorHAnsi" w:cstheme="minorHAnsi"/>
                <w:b/>
                <w:bCs/>
                <w:color w:val="FFFFFF"/>
                <w:sz w:val="16"/>
                <w:szCs w:val="16"/>
                <w:lang w:eastAsia="it-IT"/>
              </w:rPr>
            </w:pPr>
            <w:r w:rsidRPr="00832536">
              <w:rPr>
                <w:rFonts w:asciiTheme="minorHAnsi" w:eastAsia="Times New Roman" w:hAnsiTheme="minorHAnsi" w:cstheme="minorHAnsi"/>
                <w:b/>
                <w:bCs/>
                <w:color w:val="FFFFFF"/>
                <w:sz w:val="16"/>
                <w:szCs w:val="16"/>
                <w:lang w:eastAsia="it-IT"/>
              </w:rPr>
              <w:t>Merce</w:t>
            </w:r>
          </w:p>
        </w:tc>
        <w:tc>
          <w:tcPr>
            <w:tcW w:w="690" w:type="pct"/>
            <w:gridSpan w:val="2"/>
            <w:tcBorders>
              <w:top w:val="nil"/>
              <w:left w:val="nil"/>
              <w:bottom w:val="nil"/>
              <w:right w:val="nil"/>
            </w:tcBorders>
            <w:shd w:val="clear" w:color="000000" w:fill="4472C4"/>
            <w:noWrap/>
            <w:vAlign w:val="bottom"/>
            <w:hideMark/>
          </w:tcPr>
          <w:p w:rsidR="00832536" w:rsidRPr="00832536" w:rsidRDefault="00832536" w:rsidP="00832536">
            <w:pPr>
              <w:ind w:left="-228" w:firstLine="228"/>
              <w:rPr>
                <w:rFonts w:asciiTheme="minorHAnsi" w:eastAsia="Times New Roman" w:hAnsiTheme="minorHAnsi" w:cstheme="minorHAnsi"/>
                <w:b/>
                <w:bCs/>
                <w:color w:val="FFFFFF"/>
                <w:sz w:val="16"/>
                <w:szCs w:val="16"/>
                <w:lang w:eastAsia="it-IT"/>
              </w:rPr>
            </w:pPr>
            <w:r w:rsidRPr="00832536">
              <w:rPr>
                <w:rFonts w:asciiTheme="minorHAnsi" w:eastAsia="Times New Roman" w:hAnsiTheme="minorHAnsi" w:cstheme="minorHAnsi"/>
                <w:b/>
                <w:bCs/>
                <w:color w:val="FFFFFF"/>
                <w:sz w:val="16"/>
                <w:szCs w:val="16"/>
                <w:lang w:eastAsia="it-IT"/>
              </w:rPr>
              <w:t>Export</w:t>
            </w:r>
          </w:p>
        </w:tc>
        <w:tc>
          <w:tcPr>
            <w:tcW w:w="303" w:type="pct"/>
            <w:gridSpan w:val="2"/>
            <w:tcBorders>
              <w:top w:val="nil"/>
              <w:left w:val="nil"/>
              <w:bottom w:val="nil"/>
              <w:right w:val="nil"/>
            </w:tcBorders>
            <w:shd w:val="clear" w:color="000000" w:fill="4472C4"/>
            <w:noWrap/>
            <w:vAlign w:val="bottom"/>
            <w:hideMark/>
          </w:tcPr>
          <w:p w:rsidR="00832536" w:rsidRPr="00832536" w:rsidRDefault="00832536" w:rsidP="00832536">
            <w:pPr>
              <w:rPr>
                <w:rFonts w:asciiTheme="minorHAnsi" w:eastAsia="Times New Roman" w:hAnsiTheme="minorHAnsi" w:cstheme="minorHAnsi"/>
                <w:b/>
                <w:bCs/>
                <w:color w:val="FFFFFF"/>
                <w:sz w:val="16"/>
                <w:szCs w:val="16"/>
                <w:lang w:eastAsia="it-IT"/>
              </w:rPr>
            </w:pPr>
            <w:r w:rsidRPr="00832536">
              <w:rPr>
                <w:rFonts w:asciiTheme="minorHAnsi" w:eastAsia="Times New Roman" w:hAnsiTheme="minorHAnsi" w:cstheme="minorHAnsi"/>
                <w:b/>
                <w:bCs/>
                <w:color w:val="FFFFFF"/>
                <w:sz w:val="16"/>
                <w:szCs w:val="16"/>
                <w:lang w:eastAsia="it-IT"/>
              </w:rPr>
              <w:t>%</w:t>
            </w:r>
          </w:p>
        </w:tc>
      </w:tr>
      <w:tr w:rsidR="00832536" w:rsidRPr="00832536" w:rsidTr="00832536">
        <w:trPr>
          <w:gridAfter w:val="1"/>
          <w:wAfter w:w="160" w:type="pct"/>
          <w:trHeight w:val="270"/>
        </w:trPr>
        <w:tc>
          <w:tcPr>
            <w:tcW w:w="1450" w:type="pct"/>
            <w:tcBorders>
              <w:top w:val="nil"/>
              <w:left w:val="nil"/>
              <w:bottom w:val="nil"/>
              <w:right w:val="nil"/>
            </w:tcBorders>
            <w:shd w:val="clear" w:color="auto" w:fill="auto"/>
            <w:noWrap/>
            <w:vAlign w:val="bottom"/>
            <w:hideMark/>
          </w:tcPr>
          <w:p w:rsidR="00832536" w:rsidRPr="00832536" w:rsidRDefault="00832536" w:rsidP="00832536">
            <w:pPr>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Macchine ed apparecchi meccanici</w:t>
            </w:r>
          </w:p>
        </w:tc>
        <w:tc>
          <w:tcPr>
            <w:tcW w:w="764" w:type="pct"/>
            <w:tcBorders>
              <w:top w:val="nil"/>
              <w:left w:val="nil"/>
              <w:bottom w:val="nil"/>
              <w:right w:val="nil"/>
            </w:tcBorders>
            <w:shd w:val="clear" w:color="auto" w:fill="auto"/>
            <w:noWrap/>
            <w:vAlign w:val="bottom"/>
            <w:hideMark/>
          </w:tcPr>
          <w:p w:rsidR="00832536" w:rsidRPr="00832536" w:rsidRDefault="00832536" w:rsidP="00832536">
            <w:pPr>
              <w:ind w:left="-351" w:right="149" w:firstLine="351"/>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 xml:space="preserve">       1.700.272.555   </w:t>
            </w:r>
          </w:p>
        </w:tc>
        <w:tc>
          <w:tcPr>
            <w:tcW w:w="323" w:type="pct"/>
            <w:tcBorders>
              <w:top w:val="nil"/>
              <w:left w:val="nil"/>
              <w:bottom w:val="nil"/>
              <w:right w:val="nil"/>
            </w:tcBorders>
            <w:shd w:val="clear" w:color="auto" w:fill="auto"/>
            <w:noWrap/>
            <w:vAlign w:val="bottom"/>
            <w:hideMark/>
          </w:tcPr>
          <w:p w:rsidR="00832536" w:rsidRPr="00832536" w:rsidRDefault="00832536" w:rsidP="00832536">
            <w:pPr>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19%</w:t>
            </w:r>
          </w:p>
        </w:tc>
        <w:tc>
          <w:tcPr>
            <w:tcW w:w="1379" w:type="pct"/>
            <w:tcBorders>
              <w:top w:val="nil"/>
              <w:left w:val="single" w:sz="4" w:space="0" w:color="auto"/>
              <w:bottom w:val="nil"/>
              <w:right w:val="nil"/>
            </w:tcBorders>
            <w:shd w:val="clear" w:color="auto" w:fill="auto"/>
            <w:noWrap/>
            <w:vAlign w:val="bottom"/>
            <w:hideMark/>
          </w:tcPr>
          <w:p w:rsidR="00832536" w:rsidRPr="00832536" w:rsidRDefault="00832536" w:rsidP="00832536">
            <w:pPr>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 xml:space="preserve"> Macchine ed apparecchi meccanici </w:t>
            </w:r>
          </w:p>
        </w:tc>
        <w:tc>
          <w:tcPr>
            <w:tcW w:w="690" w:type="pct"/>
            <w:gridSpan w:val="2"/>
            <w:tcBorders>
              <w:top w:val="nil"/>
              <w:left w:val="nil"/>
              <w:bottom w:val="nil"/>
              <w:right w:val="nil"/>
            </w:tcBorders>
            <w:shd w:val="clear" w:color="auto" w:fill="auto"/>
            <w:noWrap/>
            <w:vAlign w:val="bottom"/>
            <w:hideMark/>
          </w:tcPr>
          <w:p w:rsidR="00832536" w:rsidRPr="00832536" w:rsidRDefault="00832536" w:rsidP="00832536">
            <w:pPr>
              <w:ind w:left="-228" w:firstLine="228"/>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 xml:space="preserve">        6.998.780.063   </w:t>
            </w:r>
          </w:p>
        </w:tc>
        <w:tc>
          <w:tcPr>
            <w:tcW w:w="234" w:type="pct"/>
            <w:gridSpan w:val="2"/>
            <w:tcBorders>
              <w:top w:val="nil"/>
              <w:left w:val="nil"/>
              <w:bottom w:val="nil"/>
              <w:right w:val="nil"/>
            </w:tcBorders>
            <w:shd w:val="clear" w:color="auto" w:fill="auto"/>
            <w:noWrap/>
            <w:vAlign w:val="bottom"/>
            <w:hideMark/>
          </w:tcPr>
          <w:p w:rsidR="00832536" w:rsidRPr="00832536" w:rsidRDefault="00832536" w:rsidP="00832536">
            <w:pPr>
              <w:ind w:left="-228" w:firstLine="228"/>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41%</w:t>
            </w:r>
          </w:p>
        </w:tc>
      </w:tr>
      <w:tr w:rsidR="00832536" w:rsidRPr="00832536" w:rsidTr="00832536">
        <w:trPr>
          <w:gridAfter w:val="1"/>
          <w:wAfter w:w="160" w:type="pct"/>
          <w:trHeight w:val="270"/>
        </w:trPr>
        <w:tc>
          <w:tcPr>
            <w:tcW w:w="1450" w:type="pct"/>
            <w:tcBorders>
              <w:top w:val="nil"/>
              <w:left w:val="nil"/>
              <w:bottom w:val="nil"/>
              <w:right w:val="nil"/>
            </w:tcBorders>
            <w:shd w:val="clear" w:color="000000" w:fill="D9E1F2"/>
            <w:noWrap/>
            <w:vAlign w:val="bottom"/>
            <w:hideMark/>
          </w:tcPr>
          <w:p w:rsidR="00832536" w:rsidRPr="00832536" w:rsidRDefault="00832536" w:rsidP="00832536">
            <w:pPr>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Alimentari, bevande e tabacchi</w:t>
            </w:r>
          </w:p>
        </w:tc>
        <w:tc>
          <w:tcPr>
            <w:tcW w:w="764" w:type="pct"/>
            <w:tcBorders>
              <w:top w:val="nil"/>
              <w:left w:val="nil"/>
              <w:bottom w:val="nil"/>
              <w:right w:val="nil"/>
            </w:tcBorders>
            <w:shd w:val="clear" w:color="000000" w:fill="D9E1F2"/>
            <w:noWrap/>
            <w:vAlign w:val="bottom"/>
            <w:hideMark/>
          </w:tcPr>
          <w:p w:rsidR="00832536" w:rsidRPr="00832536" w:rsidRDefault="00832536" w:rsidP="00832536">
            <w:pPr>
              <w:ind w:left="-351" w:right="149" w:firstLine="351"/>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 xml:space="preserve">       1.585.288.897   </w:t>
            </w:r>
          </w:p>
        </w:tc>
        <w:tc>
          <w:tcPr>
            <w:tcW w:w="323" w:type="pct"/>
            <w:tcBorders>
              <w:top w:val="nil"/>
              <w:left w:val="nil"/>
              <w:bottom w:val="nil"/>
              <w:right w:val="nil"/>
            </w:tcBorders>
            <w:shd w:val="clear" w:color="000000" w:fill="D9E1F2"/>
            <w:noWrap/>
            <w:vAlign w:val="bottom"/>
            <w:hideMark/>
          </w:tcPr>
          <w:p w:rsidR="00832536" w:rsidRPr="00832536" w:rsidRDefault="00832536" w:rsidP="00832536">
            <w:pPr>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18%</w:t>
            </w:r>
          </w:p>
        </w:tc>
        <w:tc>
          <w:tcPr>
            <w:tcW w:w="1379" w:type="pct"/>
            <w:tcBorders>
              <w:top w:val="nil"/>
              <w:left w:val="single" w:sz="4" w:space="0" w:color="auto"/>
              <w:bottom w:val="nil"/>
              <w:right w:val="nil"/>
            </w:tcBorders>
            <w:shd w:val="clear" w:color="000000" w:fill="D9E1F2"/>
            <w:noWrap/>
            <w:vAlign w:val="bottom"/>
            <w:hideMark/>
          </w:tcPr>
          <w:p w:rsidR="00832536" w:rsidRPr="00832536" w:rsidRDefault="00832536" w:rsidP="00832536">
            <w:pPr>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 xml:space="preserve"> Mezzi di trasporto </w:t>
            </w:r>
          </w:p>
        </w:tc>
        <w:tc>
          <w:tcPr>
            <w:tcW w:w="690" w:type="pct"/>
            <w:gridSpan w:val="2"/>
            <w:tcBorders>
              <w:top w:val="nil"/>
              <w:left w:val="nil"/>
              <w:bottom w:val="nil"/>
              <w:right w:val="nil"/>
            </w:tcBorders>
            <w:shd w:val="clear" w:color="000000" w:fill="D9E1F2"/>
            <w:noWrap/>
            <w:vAlign w:val="bottom"/>
            <w:hideMark/>
          </w:tcPr>
          <w:p w:rsidR="00832536" w:rsidRPr="00832536" w:rsidRDefault="00832536" w:rsidP="00832536">
            <w:pPr>
              <w:ind w:left="-228" w:firstLine="228"/>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 xml:space="preserve">        3.176.933.842   </w:t>
            </w:r>
          </w:p>
        </w:tc>
        <w:tc>
          <w:tcPr>
            <w:tcW w:w="234" w:type="pct"/>
            <w:gridSpan w:val="2"/>
            <w:tcBorders>
              <w:top w:val="nil"/>
              <w:left w:val="nil"/>
              <w:bottom w:val="nil"/>
              <w:right w:val="nil"/>
            </w:tcBorders>
            <w:shd w:val="clear" w:color="000000" w:fill="D9E1F2"/>
            <w:noWrap/>
            <w:vAlign w:val="bottom"/>
            <w:hideMark/>
          </w:tcPr>
          <w:p w:rsidR="00832536" w:rsidRPr="00832536" w:rsidRDefault="00832536" w:rsidP="00832536">
            <w:pPr>
              <w:ind w:left="-228" w:firstLine="228"/>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19%</w:t>
            </w:r>
          </w:p>
        </w:tc>
      </w:tr>
      <w:tr w:rsidR="00832536" w:rsidRPr="00832536" w:rsidTr="00832536">
        <w:trPr>
          <w:gridAfter w:val="1"/>
          <w:wAfter w:w="160" w:type="pct"/>
          <w:trHeight w:val="270"/>
        </w:trPr>
        <w:tc>
          <w:tcPr>
            <w:tcW w:w="1450" w:type="pct"/>
            <w:tcBorders>
              <w:top w:val="nil"/>
              <w:left w:val="nil"/>
              <w:bottom w:val="nil"/>
              <w:right w:val="nil"/>
            </w:tcBorders>
            <w:shd w:val="clear" w:color="auto" w:fill="auto"/>
            <w:noWrap/>
            <w:vAlign w:val="bottom"/>
            <w:hideMark/>
          </w:tcPr>
          <w:p w:rsidR="00832536" w:rsidRPr="00832536" w:rsidRDefault="00832536" w:rsidP="00832536">
            <w:pPr>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Metalli e prodotti in metallo</w:t>
            </w:r>
          </w:p>
        </w:tc>
        <w:tc>
          <w:tcPr>
            <w:tcW w:w="764" w:type="pct"/>
            <w:tcBorders>
              <w:top w:val="nil"/>
              <w:left w:val="nil"/>
              <w:bottom w:val="nil"/>
              <w:right w:val="nil"/>
            </w:tcBorders>
            <w:shd w:val="clear" w:color="auto" w:fill="auto"/>
            <w:noWrap/>
            <w:vAlign w:val="bottom"/>
            <w:hideMark/>
          </w:tcPr>
          <w:p w:rsidR="00832536" w:rsidRPr="00832536" w:rsidRDefault="00832536" w:rsidP="00832536">
            <w:pPr>
              <w:ind w:left="-351" w:right="149" w:firstLine="351"/>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 xml:space="preserve">       1.320.197.673   </w:t>
            </w:r>
          </w:p>
        </w:tc>
        <w:tc>
          <w:tcPr>
            <w:tcW w:w="323" w:type="pct"/>
            <w:tcBorders>
              <w:top w:val="nil"/>
              <w:left w:val="nil"/>
              <w:bottom w:val="nil"/>
              <w:right w:val="nil"/>
            </w:tcBorders>
            <w:shd w:val="clear" w:color="auto" w:fill="auto"/>
            <w:noWrap/>
            <w:vAlign w:val="bottom"/>
            <w:hideMark/>
          </w:tcPr>
          <w:p w:rsidR="00832536" w:rsidRPr="00832536" w:rsidRDefault="00832536" w:rsidP="00832536">
            <w:pPr>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15%</w:t>
            </w:r>
          </w:p>
        </w:tc>
        <w:tc>
          <w:tcPr>
            <w:tcW w:w="1379" w:type="pct"/>
            <w:tcBorders>
              <w:top w:val="nil"/>
              <w:left w:val="single" w:sz="4" w:space="0" w:color="auto"/>
              <w:bottom w:val="nil"/>
              <w:right w:val="nil"/>
            </w:tcBorders>
            <w:shd w:val="clear" w:color="auto" w:fill="auto"/>
            <w:noWrap/>
            <w:vAlign w:val="bottom"/>
            <w:hideMark/>
          </w:tcPr>
          <w:p w:rsidR="00832536" w:rsidRPr="00832536" w:rsidRDefault="00832536" w:rsidP="00832536">
            <w:pPr>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 xml:space="preserve"> Alimentari, bevande e tabacchi </w:t>
            </w:r>
          </w:p>
        </w:tc>
        <w:tc>
          <w:tcPr>
            <w:tcW w:w="690" w:type="pct"/>
            <w:gridSpan w:val="2"/>
            <w:tcBorders>
              <w:top w:val="nil"/>
              <w:left w:val="nil"/>
              <w:bottom w:val="nil"/>
              <w:right w:val="nil"/>
            </w:tcBorders>
            <w:shd w:val="clear" w:color="auto" w:fill="auto"/>
            <w:noWrap/>
            <w:vAlign w:val="bottom"/>
            <w:hideMark/>
          </w:tcPr>
          <w:p w:rsidR="00832536" w:rsidRPr="00832536" w:rsidRDefault="00832536" w:rsidP="00832536">
            <w:pPr>
              <w:ind w:left="-228" w:firstLine="228"/>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 xml:space="preserve">        2.735.677.756   </w:t>
            </w:r>
          </w:p>
        </w:tc>
        <w:tc>
          <w:tcPr>
            <w:tcW w:w="234" w:type="pct"/>
            <w:gridSpan w:val="2"/>
            <w:tcBorders>
              <w:top w:val="nil"/>
              <w:left w:val="nil"/>
              <w:bottom w:val="nil"/>
              <w:right w:val="nil"/>
            </w:tcBorders>
            <w:shd w:val="clear" w:color="auto" w:fill="auto"/>
            <w:noWrap/>
            <w:vAlign w:val="bottom"/>
            <w:hideMark/>
          </w:tcPr>
          <w:p w:rsidR="00832536" w:rsidRPr="00832536" w:rsidRDefault="00832536" w:rsidP="00832536">
            <w:pPr>
              <w:ind w:left="-228" w:firstLine="228"/>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16%</w:t>
            </w:r>
          </w:p>
        </w:tc>
      </w:tr>
      <w:tr w:rsidR="00832536" w:rsidRPr="00832536" w:rsidTr="00832536">
        <w:trPr>
          <w:gridAfter w:val="1"/>
          <w:wAfter w:w="160" w:type="pct"/>
          <w:trHeight w:val="270"/>
        </w:trPr>
        <w:tc>
          <w:tcPr>
            <w:tcW w:w="1450" w:type="pct"/>
            <w:tcBorders>
              <w:top w:val="nil"/>
              <w:left w:val="nil"/>
              <w:bottom w:val="nil"/>
              <w:right w:val="nil"/>
            </w:tcBorders>
            <w:shd w:val="clear" w:color="000000" w:fill="D9E1F2"/>
            <w:noWrap/>
            <w:vAlign w:val="bottom"/>
            <w:hideMark/>
          </w:tcPr>
          <w:p w:rsidR="00832536" w:rsidRPr="00832536" w:rsidRDefault="00832536" w:rsidP="00832536">
            <w:pPr>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lastRenderedPageBreak/>
              <w:t>Tessile, Abbigliamento e concia</w:t>
            </w:r>
          </w:p>
        </w:tc>
        <w:tc>
          <w:tcPr>
            <w:tcW w:w="764" w:type="pct"/>
            <w:tcBorders>
              <w:top w:val="nil"/>
              <w:left w:val="nil"/>
              <w:bottom w:val="nil"/>
              <w:right w:val="nil"/>
            </w:tcBorders>
            <w:shd w:val="clear" w:color="000000" w:fill="D9E1F2"/>
            <w:noWrap/>
            <w:vAlign w:val="bottom"/>
            <w:hideMark/>
          </w:tcPr>
          <w:p w:rsidR="00832536" w:rsidRPr="00832536" w:rsidRDefault="00832536" w:rsidP="00832536">
            <w:pPr>
              <w:ind w:left="-351" w:right="149" w:firstLine="351"/>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 xml:space="preserve">       1.163.256.647   </w:t>
            </w:r>
          </w:p>
        </w:tc>
        <w:tc>
          <w:tcPr>
            <w:tcW w:w="323" w:type="pct"/>
            <w:tcBorders>
              <w:top w:val="nil"/>
              <w:left w:val="nil"/>
              <w:bottom w:val="nil"/>
              <w:right w:val="nil"/>
            </w:tcBorders>
            <w:shd w:val="clear" w:color="000000" w:fill="D9E1F2"/>
            <w:noWrap/>
            <w:vAlign w:val="bottom"/>
            <w:hideMark/>
          </w:tcPr>
          <w:p w:rsidR="00832536" w:rsidRPr="00832536" w:rsidRDefault="00832536" w:rsidP="00832536">
            <w:pPr>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13%</w:t>
            </w:r>
          </w:p>
        </w:tc>
        <w:tc>
          <w:tcPr>
            <w:tcW w:w="1379" w:type="pct"/>
            <w:tcBorders>
              <w:top w:val="nil"/>
              <w:left w:val="single" w:sz="4" w:space="0" w:color="auto"/>
              <w:bottom w:val="nil"/>
              <w:right w:val="nil"/>
            </w:tcBorders>
            <w:shd w:val="clear" w:color="000000" w:fill="D9E1F2"/>
            <w:noWrap/>
            <w:vAlign w:val="bottom"/>
            <w:hideMark/>
          </w:tcPr>
          <w:p w:rsidR="00832536" w:rsidRPr="00832536" w:rsidRDefault="00832536" w:rsidP="00832536">
            <w:pPr>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 xml:space="preserve"> Minerali non metalliferi </w:t>
            </w:r>
          </w:p>
        </w:tc>
        <w:tc>
          <w:tcPr>
            <w:tcW w:w="690" w:type="pct"/>
            <w:gridSpan w:val="2"/>
            <w:tcBorders>
              <w:top w:val="nil"/>
              <w:left w:val="nil"/>
              <w:bottom w:val="nil"/>
              <w:right w:val="nil"/>
            </w:tcBorders>
            <w:shd w:val="clear" w:color="000000" w:fill="D9E1F2"/>
            <w:noWrap/>
            <w:vAlign w:val="bottom"/>
            <w:hideMark/>
          </w:tcPr>
          <w:p w:rsidR="00832536" w:rsidRPr="00832536" w:rsidRDefault="00832536" w:rsidP="00832536">
            <w:pPr>
              <w:ind w:left="-228" w:firstLine="228"/>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 xml:space="preserve">        1.341.887.398   </w:t>
            </w:r>
          </w:p>
        </w:tc>
        <w:tc>
          <w:tcPr>
            <w:tcW w:w="234" w:type="pct"/>
            <w:gridSpan w:val="2"/>
            <w:tcBorders>
              <w:top w:val="nil"/>
              <w:left w:val="nil"/>
              <w:bottom w:val="nil"/>
              <w:right w:val="nil"/>
            </w:tcBorders>
            <w:shd w:val="clear" w:color="000000" w:fill="D9E1F2"/>
            <w:noWrap/>
            <w:vAlign w:val="bottom"/>
            <w:hideMark/>
          </w:tcPr>
          <w:p w:rsidR="00832536" w:rsidRPr="00832536" w:rsidRDefault="00832536" w:rsidP="00832536">
            <w:pPr>
              <w:ind w:left="-228" w:firstLine="228"/>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8%</w:t>
            </w:r>
          </w:p>
        </w:tc>
      </w:tr>
      <w:tr w:rsidR="00832536" w:rsidRPr="00832536" w:rsidTr="00832536">
        <w:trPr>
          <w:gridAfter w:val="1"/>
          <w:wAfter w:w="160" w:type="pct"/>
          <w:trHeight w:val="270"/>
        </w:trPr>
        <w:tc>
          <w:tcPr>
            <w:tcW w:w="1450" w:type="pct"/>
            <w:tcBorders>
              <w:top w:val="nil"/>
              <w:left w:val="nil"/>
              <w:bottom w:val="nil"/>
              <w:right w:val="nil"/>
            </w:tcBorders>
            <w:shd w:val="clear" w:color="auto" w:fill="auto"/>
            <w:noWrap/>
            <w:vAlign w:val="bottom"/>
            <w:hideMark/>
          </w:tcPr>
          <w:p w:rsidR="00832536" w:rsidRPr="00832536" w:rsidRDefault="00832536" w:rsidP="00832536">
            <w:pPr>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Chimica e plastica</w:t>
            </w:r>
          </w:p>
        </w:tc>
        <w:tc>
          <w:tcPr>
            <w:tcW w:w="764" w:type="pct"/>
            <w:tcBorders>
              <w:top w:val="nil"/>
              <w:left w:val="nil"/>
              <w:bottom w:val="nil"/>
              <w:right w:val="nil"/>
            </w:tcBorders>
            <w:shd w:val="clear" w:color="auto" w:fill="auto"/>
            <w:noWrap/>
            <w:vAlign w:val="bottom"/>
            <w:hideMark/>
          </w:tcPr>
          <w:p w:rsidR="00832536" w:rsidRPr="00832536" w:rsidRDefault="00832536" w:rsidP="00832536">
            <w:pPr>
              <w:ind w:left="-351" w:right="149" w:firstLine="351"/>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 xml:space="preserve">          931.811.252   </w:t>
            </w:r>
          </w:p>
        </w:tc>
        <w:tc>
          <w:tcPr>
            <w:tcW w:w="323" w:type="pct"/>
            <w:tcBorders>
              <w:top w:val="nil"/>
              <w:left w:val="nil"/>
              <w:bottom w:val="nil"/>
              <w:right w:val="nil"/>
            </w:tcBorders>
            <w:shd w:val="clear" w:color="auto" w:fill="auto"/>
            <w:noWrap/>
            <w:vAlign w:val="bottom"/>
            <w:hideMark/>
          </w:tcPr>
          <w:p w:rsidR="00832536" w:rsidRPr="00832536" w:rsidRDefault="00832536" w:rsidP="00832536">
            <w:pPr>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10%</w:t>
            </w:r>
          </w:p>
        </w:tc>
        <w:tc>
          <w:tcPr>
            <w:tcW w:w="1379" w:type="pct"/>
            <w:tcBorders>
              <w:top w:val="nil"/>
              <w:left w:val="single" w:sz="4" w:space="0" w:color="auto"/>
              <w:bottom w:val="nil"/>
              <w:right w:val="nil"/>
            </w:tcBorders>
            <w:shd w:val="clear" w:color="auto" w:fill="auto"/>
            <w:noWrap/>
            <w:vAlign w:val="bottom"/>
            <w:hideMark/>
          </w:tcPr>
          <w:p w:rsidR="00832536" w:rsidRPr="00832536" w:rsidRDefault="00832536" w:rsidP="00832536">
            <w:pPr>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 xml:space="preserve"> Chimica e plastica </w:t>
            </w:r>
          </w:p>
        </w:tc>
        <w:tc>
          <w:tcPr>
            <w:tcW w:w="690" w:type="pct"/>
            <w:gridSpan w:val="2"/>
            <w:tcBorders>
              <w:top w:val="nil"/>
              <w:left w:val="nil"/>
              <w:bottom w:val="nil"/>
              <w:right w:val="nil"/>
            </w:tcBorders>
            <w:shd w:val="clear" w:color="auto" w:fill="auto"/>
            <w:noWrap/>
            <w:vAlign w:val="bottom"/>
            <w:hideMark/>
          </w:tcPr>
          <w:p w:rsidR="00832536" w:rsidRPr="00832536" w:rsidRDefault="00832536" w:rsidP="00832536">
            <w:pPr>
              <w:ind w:left="-228" w:firstLine="228"/>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 xml:space="preserve">        1.315.682.380   </w:t>
            </w:r>
          </w:p>
        </w:tc>
        <w:tc>
          <w:tcPr>
            <w:tcW w:w="234" w:type="pct"/>
            <w:gridSpan w:val="2"/>
            <w:tcBorders>
              <w:top w:val="nil"/>
              <w:left w:val="nil"/>
              <w:bottom w:val="nil"/>
              <w:right w:val="nil"/>
            </w:tcBorders>
            <w:shd w:val="clear" w:color="auto" w:fill="auto"/>
            <w:noWrap/>
            <w:vAlign w:val="bottom"/>
            <w:hideMark/>
          </w:tcPr>
          <w:p w:rsidR="00832536" w:rsidRPr="00832536" w:rsidRDefault="00832536" w:rsidP="00832536">
            <w:pPr>
              <w:ind w:left="-228" w:firstLine="228"/>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8%</w:t>
            </w:r>
          </w:p>
        </w:tc>
      </w:tr>
      <w:tr w:rsidR="00832536" w:rsidRPr="00832536" w:rsidTr="00832536">
        <w:trPr>
          <w:gridAfter w:val="1"/>
          <w:wAfter w:w="160" w:type="pct"/>
          <w:trHeight w:val="270"/>
        </w:trPr>
        <w:tc>
          <w:tcPr>
            <w:tcW w:w="1450" w:type="pct"/>
            <w:tcBorders>
              <w:top w:val="nil"/>
              <w:left w:val="nil"/>
              <w:bottom w:val="nil"/>
              <w:right w:val="nil"/>
            </w:tcBorders>
            <w:shd w:val="clear" w:color="000000" w:fill="D9E1F2"/>
            <w:noWrap/>
            <w:vAlign w:val="bottom"/>
            <w:hideMark/>
          </w:tcPr>
          <w:p w:rsidR="00832536" w:rsidRPr="00832536" w:rsidRDefault="00832536" w:rsidP="00832536">
            <w:pPr>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Agricoltura e Pesca</w:t>
            </w:r>
          </w:p>
        </w:tc>
        <w:tc>
          <w:tcPr>
            <w:tcW w:w="764" w:type="pct"/>
            <w:tcBorders>
              <w:top w:val="nil"/>
              <w:left w:val="nil"/>
              <w:bottom w:val="nil"/>
              <w:right w:val="nil"/>
            </w:tcBorders>
            <w:shd w:val="clear" w:color="000000" w:fill="D9E1F2"/>
            <w:noWrap/>
            <w:vAlign w:val="bottom"/>
            <w:hideMark/>
          </w:tcPr>
          <w:p w:rsidR="00832536" w:rsidRPr="00832536" w:rsidRDefault="00832536" w:rsidP="00832536">
            <w:pPr>
              <w:ind w:left="-351" w:right="149" w:firstLine="351"/>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 xml:space="preserve">          842.047.619   </w:t>
            </w:r>
          </w:p>
        </w:tc>
        <w:tc>
          <w:tcPr>
            <w:tcW w:w="323" w:type="pct"/>
            <w:tcBorders>
              <w:top w:val="nil"/>
              <w:left w:val="nil"/>
              <w:bottom w:val="nil"/>
              <w:right w:val="nil"/>
            </w:tcBorders>
            <w:shd w:val="clear" w:color="000000" w:fill="D9E1F2"/>
            <w:noWrap/>
            <w:vAlign w:val="bottom"/>
            <w:hideMark/>
          </w:tcPr>
          <w:p w:rsidR="00832536" w:rsidRPr="00832536" w:rsidRDefault="00832536" w:rsidP="00832536">
            <w:pPr>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9%</w:t>
            </w:r>
          </w:p>
        </w:tc>
        <w:tc>
          <w:tcPr>
            <w:tcW w:w="1379" w:type="pct"/>
            <w:tcBorders>
              <w:top w:val="nil"/>
              <w:left w:val="single" w:sz="4" w:space="0" w:color="auto"/>
              <w:bottom w:val="nil"/>
              <w:right w:val="nil"/>
            </w:tcBorders>
            <w:shd w:val="clear" w:color="000000" w:fill="D9E1F2"/>
            <w:noWrap/>
            <w:vAlign w:val="bottom"/>
            <w:hideMark/>
          </w:tcPr>
          <w:p w:rsidR="00832536" w:rsidRPr="00832536" w:rsidRDefault="00832536" w:rsidP="00832536">
            <w:pPr>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 xml:space="preserve"> Metalli e prodotti in metallo </w:t>
            </w:r>
          </w:p>
        </w:tc>
        <w:tc>
          <w:tcPr>
            <w:tcW w:w="690" w:type="pct"/>
            <w:gridSpan w:val="2"/>
            <w:tcBorders>
              <w:top w:val="nil"/>
              <w:left w:val="nil"/>
              <w:bottom w:val="nil"/>
              <w:right w:val="nil"/>
            </w:tcBorders>
            <w:shd w:val="clear" w:color="000000" w:fill="D9E1F2"/>
            <w:noWrap/>
            <w:vAlign w:val="bottom"/>
            <w:hideMark/>
          </w:tcPr>
          <w:p w:rsidR="00832536" w:rsidRPr="00832536" w:rsidRDefault="00832536" w:rsidP="00832536">
            <w:pPr>
              <w:ind w:left="-228" w:firstLine="228"/>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 xml:space="preserve">           674.389.248   </w:t>
            </w:r>
          </w:p>
        </w:tc>
        <w:tc>
          <w:tcPr>
            <w:tcW w:w="234" w:type="pct"/>
            <w:gridSpan w:val="2"/>
            <w:tcBorders>
              <w:top w:val="nil"/>
              <w:left w:val="nil"/>
              <w:bottom w:val="nil"/>
              <w:right w:val="nil"/>
            </w:tcBorders>
            <w:shd w:val="clear" w:color="000000" w:fill="D9E1F2"/>
            <w:noWrap/>
            <w:vAlign w:val="bottom"/>
            <w:hideMark/>
          </w:tcPr>
          <w:p w:rsidR="00832536" w:rsidRPr="00832536" w:rsidRDefault="00832536" w:rsidP="00832536">
            <w:pPr>
              <w:ind w:left="-228" w:firstLine="228"/>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4%</w:t>
            </w:r>
          </w:p>
        </w:tc>
      </w:tr>
      <w:tr w:rsidR="00832536" w:rsidRPr="00832536" w:rsidTr="00832536">
        <w:trPr>
          <w:gridAfter w:val="1"/>
          <w:wAfter w:w="160" w:type="pct"/>
          <w:trHeight w:val="270"/>
        </w:trPr>
        <w:tc>
          <w:tcPr>
            <w:tcW w:w="1450" w:type="pct"/>
            <w:tcBorders>
              <w:top w:val="nil"/>
              <w:left w:val="nil"/>
              <w:bottom w:val="nil"/>
              <w:right w:val="nil"/>
            </w:tcBorders>
            <w:shd w:val="clear" w:color="auto" w:fill="auto"/>
            <w:noWrap/>
            <w:vAlign w:val="bottom"/>
            <w:hideMark/>
          </w:tcPr>
          <w:p w:rsidR="00832536" w:rsidRPr="00832536" w:rsidRDefault="00832536" w:rsidP="00832536">
            <w:pPr>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Mezzi di trasporto</w:t>
            </w:r>
          </w:p>
        </w:tc>
        <w:tc>
          <w:tcPr>
            <w:tcW w:w="764" w:type="pct"/>
            <w:tcBorders>
              <w:top w:val="nil"/>
              <w:left w:val="nil"/>
              <w:bottom w:val="nil"/>
              <w:right w:val="nil"/>
            </w:tcBorders>
            <w:shd w:val="clear" w:color="auto" w:fill="auto"/>
            <w:noWrap/>
            <w:vAlign w:val="bottom"/>
            <w:hideMark/>
          </w:tcPr>
          <w:p w:rsidR="00832536" w:rsidRPr="00832536" w:rsidRDefault="00832536" w:rsidP="00832536">
            <w:pPr>
              <w:ind w:left="-351" w:right="149" w:firstLine="351"/>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 xml:space="preserve">          664.986.905   </w:t>
            </w:r>
          </w:p>
        </w:tc>
        <w:tc>
          <w:tcPr>
            <w:tcW w:w="323" w:type="pct"/>
            <w:tcBorders>
              <w:top w:val="nil"/>
              <w:left w:val="nil"/>
              <w:bottom w:val="nil"/>
              <w:right w:val="nil"/>
            </w:tcBorders>
            <w:shd w:val="clear" w:color="auto" w:fill="auto"/>
            <w:noWrap/>
            <w:vAlign w:val="bottom"/>
            <w:hideMark/>
          </w:tcPr>
          <w:p w:rsidR="00832536" w:rsidRPr="00832536" w:rsidRDefault="00832536" w:rsidP="00832536">
            <w:pPr>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7%</w:t>
            </w:r>
          </w:p>
        </w:tc>
        <w:tc>
          <w:tcPr>
            <w:tcW w:w="1379" w:type="pct"/>
            <w:tcBorders>
              <w:top w:val="nil"/>
              <w:left w:val="single" w:sz="4" w:space="0" w:color="auto"/>
              <w:bottom w:val="nil"/>
              <w:right w:val="nil"/>
            </w:tcBorders>
            <w:shd w:val="clear" w:color="auto" w:fill="auto"/>
            <w:noWrap/>
            <w:vAlign w:val="bottom"/>
            <w:hideMark/>
          </w:tcPr>
          <w:p w:rsidR="00832536" w:rsidRPr="00832536" w:rsidRDefault="00832536" w:rsidP="00832536">
            <w:pPr>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 xml:space="preserve"> Mobili </w:t>
            </w:r>
          </w:p>
        </w:tc>
        <w:tc>
          <w:tcPr>
            <w:tcW w:w="690" w:type="pct"/>
            <w:gridSpan w:val="2"/>
            <w:tcBorders>
              <w:top w:val="nil"/>
              <w:left w:val="nil"/>
              <w:bottom w:val="nil"/>
              <w:right w:val="nil"/>
            </w:tcBorders>
            <w:shd w:val="clear" w:color="auto" w:fill="auto"/>
            <w:noWrap/>
            <w:vAlign w:val="bottom"/>
            <w:hideMark/>
          </w:tcPr>
          <w:p w:rsidR="00832536" w:rsidRPr="00832536" w:rsidRDefault="00832536" w:rsidP="00832536">
            <w:pPr>
              <w:ind w:left="-228" w:firstLine="228"/>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 xml:space="preserve">           348.663.608   </w:t>
            </w:r>
          </w:p>
        </w:tc>
        <w:tc>
          <w:tcPr>
            <w:tcW w:w="234" w:type="pct"/>
            <w:gridSpan w:val="2"/>
            <w:tcBorders>
              <w:top w:val="nil"/>
              <w:left w:val="nil"/>
              <w:bottom w:val="nil"/>
              <w:right w:val="nil"/>
            </w:tcBorders>
            <w:shd w:val="clear" w:color="auto" w:fill="auto"/>
            <w:noWrap/>
            <w:vAlign w:val="bottom"/>
            <w:hideMark/>
          </w:tcPr>
          <w:p w:rsidR="00832536" w:rsidRPr="00832536" w:rsidRDefault="00832536" w:rsidP="00832536">
            <w:pPr>
              <w:ind w:left="-228" w:firstLine="228"/>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2%</w:t>
            </w:r>
          </w:p>
        </w:tc>
      </w:tr>
      <w:tr w:rsidR="00832536" w:rsidRPr="00832536" w:rsidTr="00832536">
        <w:trPr>
          <w:gridAfter w:val="1"/>
          <w:wAfter w:w="160" w:type="pct"/>
          <w:trHeight w:val="270"/>
        </w:trPr>
        <w:tc>
          <w:tcPr>
            <w:tcW w:w="1450" w:type="pct"/>
            <w:tcBorders>
              <w:top w:val="nil"/>
              <w:left w:val="nil"/>
              <w:bottom w:val="nil"/>
              <w:right w:val="nil"/>
            </w:tcBorders>
            <w:shd w:val="clear" w:color="000000" w:fill="D9E1F2"/>
            <w:noWrap/>
            <w:vAlign w:val="bottom"/>
            <w:hideMark/>
          </w:tcPr>
          <w:p w:rsidR="00832536" w:rsidRPr="00832536" w:rsidRDefault="00832536" w:rsidP="00832536">
            <w:pPr>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Mobili</w:t>
            </w:r>
          </w:p>
        </w:tc>
        <w:tc>
          <w:tcPr>
            <w:tcW w:w="764" w:type="pct"/>
            <w:tcBorders>
              <w:top w:val="nil"/>
              <w:left w:val="nil"/>
              <w:bottom w:val="nil"/>
              <w:right w:val="nil"/>
            </w:tcBorders>
            <w:shd w:val="clear" w:color="000000" w:fill="D9E1F2"/>
            <w:noWrap/>
            <w:vAlign w:val="bottom"/>
            <w:hideMark/>
          </w:tcPr>
          <w:p w:rsidR="00832536" w:rsidRPr="00832536" w:rsidRDefault="00832536" w:rsidP="00832536">
            <w:pPr>
              <w:ind w:left="-351" w:right="149" w:firstLine="351"/>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 xml:space="preserve">          254.213.737   </w:t>
            </w:r>
          </w:p>
        </w:tc>
        <w:tc>
          <w:tcPr>
            <w:tcW w:w="323" w:type="pct"/>
            <w:tcBorders>
              <w:top w:val="nil"/>
              <w:left w:val="nil"/>
              <w:bottom w:val="nil"/>
              <w:right w:val="nil"/>
            </w:tcBorders>
            <w:shd w:val="clear" w:color="000000" w:fill="D9E1F2"/>
            <w:noWrap/>
            <w:vAlign w:val="bottom"/>
            <w:hideMark/>
          </w:tcPr>
          <w:p w:rsidR="00832536" w:rsidRPr="00832536" w:rsidRDefault="00832536" w:rsidP="00832536">
            <w:pPr>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3%</w:t>
            </w:r>
          </w:p>
        </w:tc>
        <w:tc>
          <w:tcPr>
            <w:tcW w:w="1379" w:type="pct"/>
            <w:tcBorders>
              <w:top w:val="nil"/>
              <w:left w:val="single" w:sz="4" w:space="0" w:color="auto"/>
              <w:bottom w:val="nil"/>
              <w:right w:val="nil"/>
            </w:tcBorders>
            <w:shd w:val="clear" w:color="000000" w:fill="D9E1F2"/>
            <w:noWrap/>
            <w:vAlign w:val="bottom"/>
            <w:hideMark/>
          </w:tcPr>
          <w:p w:rsidR="00832536" w:rsidRPr="00832536" w:rsidRDefault="00832536" w:rsidP="00832536">
            <w:pPr>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 xml:space="preserve"> Tessile, Abbigliamento e concia </w:t>
            </w:r>
          </w:p>
        </w:tc>
        <w:tc>
          <w:tcPr>
            <w:tcW w:w="690" w:type="pct"/>
            <w:gridSpan w:val="2"/>
            <w:tcBorders>
              <w:top w:val="nil"/>
              <w:left w:val="nil"/>
              <w:bottom w:val="nil"/>
              <w:right w:val="nil"/>
            </w:tcBorders>
            <w:shd w:val="clear" w:color="000000" w:fill="D9E1F2"/>
            <w:noWrap/>
            <w:vAlign w:val="bottom"/>
            <w:hideMark/>
          </w:tcPr>
          <w:p w:rsidR="00832536" w:rsidRPr="00832536" w:rsidRDefault="00832536" w:rsidP="00832536">
            <w:pPr>
              <w:ind w:left="-228" w:firstLine="228"/>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 xml:space="preserve">           242.133.496   </w:t>
            </w:r>
          </w:p>
        </w:tc>
        <w:tc>
          <w:tcPr>
            <w:tcW w:w="234" w:type="pct"/>
            <w:gridSpan w:val="2"/>
            <w:tcBorders>
              <w:top w:val="nil"/>
              <w:left w:val="nil"/>
              <w:bottom w:val="nil"/>
              <w:right w:val="nil"/>
            </w:tcBorders>
            <w:shd w:val="clear" w:color="000000" w:fill="D9E1F2"/>
            <w:noWrap/>
            <w:vAlign w:val="bottom"/>
            <w:hideMark/>
          </w:tcPr>
          <w:p w:rsidR="00832536" w:rsidRPr="00832536" w:rsidRDefault="00832536" w:rsidP="00832536">
            <w:pPr>
              <w:ind w:left="-228" w:firstLine="228"/>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1%</w:t>
            </w:r>
          </w:p>
        </w:tc>
      </w:tr>
      <w:tr w:rsidR="00832536" w:rsidRPr="00832536" w:rsidTr="00832536">
        <w:trPr>
          <w:gridAfter w:val="1"/>
          <w:wAfter w:w="160" w:type="pct"/>
          <w:trHeight w:val="270"/>
        </w:trPr>
        <w:tc>
          <w:tcPr>
            <w:tcW w:w="1450" w:type="pct"/>
            <w:tcBorders>
              <w:top w:val="nil"/>
              <w:left w:val="nil"/>
              <w:bottom w:val="nil"/>
              <w:right w:val="nil"/>
            </w:tcBorders>
            <w:shd w:val="clear" w:color="auto" w:fill="auto"/>
            <w:noWrap/>
            <w:vAlign w:val="bottom"/>
            <w:hideMark/>
          </w:tcPr>
          <w:p w:rsidR="00832536" w:rsidRPr="00832536" w:rsidRDefault="00832536" w:rsidP="00832536">
            <w:pPr>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Legno e carta</w:t>
            </w:r>
          </w:p>
        </w:tc>
        <w:tc>
          <w:tcPr>
            <w:tcW w:w="764" w:type="pct"/>
            <w:tcBorders>
              <w:top w:val="nil"/>
              <w:left w:val="nil"/>
              <w:bottom w:val="nil"/>
              <w:right w:val="nil"/>
            </w:tcBorders>
            <w:shd w:val="clear" w:color="auto" w:fill="auto"/>
            <w:noWrap/>
            <w:vAlign w:val="bottom"/>
            <w:hideMark/>
          </w:tcPr>
          <w:p w:rsidR="00832536" w:rsidRPr="00832536" w:rsidRDefault="00832536" w:rsidP="00832536">
            <w:pPr>
              <w:ind w:left="-351" w:right="149" w:firstLine="351"/>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 xml:space="preserve">          172.860.833   </w:t>
            </w:r>
          </w:p>
        </w:tc>
        <w:tc>
          <w:tcPr>
            <w:tcW w:w="323" w:type="pct"/>
            <w:tcBorders>
              <w:top w:val="nil"/>
              <w:left w:val="nil"/>
              <w:bottom w:val="nil"/>
              <w:right w:val="nil"/>
            </w:tcBorders>
            <w:shd w:val="clear" w:color="auto" w:fill="auto"/>
            <w:noWrap/>
            <w:vAlign w:val="bottom"/>
            <w:hideMark/>
          </w:tcPr>
          <w:p w:rsidR="00832536" w:rsidRPr="00832536" w:rsidRDefault="00832536" w:rsidP="00832536">
            <w:pPr>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2%</w:t>
            </w:r>
          </w:p>
        </w:tc>
        <w:tc>
          <w:tcPr>
            <w:tcW w:w="1379" w:type="pct"/>
            <w:tcBorders>
              <w:top w:val="nil"/>
              <w:left w:val="single" w:sz="4" w:space="0" w:color="auto"/>
              <w:bottom w:val="nil"/>
              <w:right w:val="nil"/>
            </w:tcBorders>
            <w:shd w:val="clear" w:color="auto" w:fill="auto"/>
            <w:noWrap/>
            <w:vAlign w:val="bottom"/>
            <w:hideMark/>
          </w:tcPr>
          <w:p w:rsidR="00832536" w:rsidRPr="00832536" w:rsidRDefault="00832536" w:rsidP="00832536">
            <w:pPr>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 xml:space="preserve"> Agricoltura e Pesca </w:t>
            </w:r>
          </w:p>
        </w:tc>
        <w:tc>
          <w:tcPr>
            <w:tcW w:w="690" w:type="pct"/>
            <w:gridSpan w:val="2"/>
            <w:tcBorders>
              <w:top w:val="nil"/>
              <w:left w:val="nil"/>
              <w:bottom w:val="nil"/>
              <w:right w:val="nil"/>
            </w:tcBorders>
            <w:shd w:val="clear" w:color="auto" w:fill="auto"/>
            <w:noWrap/>
            <w:vAlign w:val="bottom"/>
            <w:hideMark/>
          </w:tcPr>
          <w:p w:rsidR="00832536" w:rsidRPr="00832536" w:rsidRDefault="00832536" w:rsidP="00832536">
            <w:pPr>
              <w:ind w:left="-228" w:firstLine="228"/>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 xml:space="preserve">           109.301.132   </w:t>
            </w:r>
          </w:p>
        </w:tc>
        <w:tc>
          <w:tcPr>
            <w:tcW w:w="234" w:type="pct"/>
            <w:gridSpan w:val="2"/>
            <w:tcBorders>
              <w:top w:val="nil"/>
              <w:left w:val="nil"/>
              <w:bottom w:val="nil"/>
              <w:right w:val="nil"/>
            </w:tcBorders>
            <w:shd w:val="clear" w:color="auto" w:fill="auto"/>
            <w:noWrap/>
            <w:vAlign w:val="bottom"/>
            <w:hideMark/>
          </w:tcPr>
          <w:p w:rsidR="00832536" w:rsidRPr="00832536" w:rsidRDefault="00832536" w:rsidP="00832536">
            <w:pPr>
              <w:ind w:left="-228" w:firstLine="228"/>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1%</w:t>
            </w:r>
          </w:p>
        </w:tc>
      </w:tr>
      <w:tr w:rsidR="00832536" w:rsidRPr="00832536" w:rsidTr="00832536">
        <w:trPr>
          <w:gridAfter w:val="1"/>
          <w:wAfter w:w="160" w:type="pct"/>
          <w:trHeight w:val="270"/>
        </w:trPr>
        <w:tc>
          <w:tcPr>
            <w:tcW w:w="1450" w:type="pct"/>
            <w:tcBorders>
              <w:top w:val="nil"/>
              <w:left w:val="nil"/>
              <w:bottom w:val="nil"/>
              <w:right w:val="nil"/>
            </w:tcBorders>
            <w:shd w:val="clear" w:color="000000" w:fill="D9E1F2"/>
            <w:noWrap/>
            <w:vAlign w:val="bottom"/>
            <w:hideMark/>
          </w:tcPr>
          <w:p w:rsidR="00832536" w:rsidRPr="00832536" w:rsidRDefault="00832536" w:rsidP="00832536">
            <w:pPr>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Minerali metalliferi ed altri prodotti minerari</w:t>
            </w:r>
          </w:p>
        </w:tc>
        <w:tc>
          <w:tcPr>
            <w:tcW w:w="764" w:type="pct"/>
            <w:tcBorders>
              <w:top w:val="nil"/>
              <w:left w:val="nil"/>
              <w:bottom w:val="nil"/>
              <w:right w:val="nil"/>
            </w:tcBorders>
            <w:shd w:val="clear" w:color="000000" w:fill="D9E1F2"/>
            <w:noWrap/>
            <w:vAlign w:val="bottom"/>
            <w:hideMark/>
          </w:tcPr>
          <w:p w:rsidR="00832536" w:rsidRPr="00832536" w:rsidRDefault="00832536" w:rsidP="00832536">
            <w:pPr>
              <w:ind w:left="-351" w:right="149" w:firstLine="351"/>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 xml:space="preserve">          134.678.784   </w:t>
            </w:r>
          </w:p>
        </w:tc>
        <w:tc>
          <w:tcPr>
            <w:tcW w:w="323" w:type="pct"/>
            <w:tcBorders>
              <w:top w:val="nil"/>
              <w:left w:val="nil"/>
              <w:bottom w:val="nil"/>
              <w:right w:val="nil"/>
            </w:tcBorders>
            <w:shd w:val="clear" w:color="000000" w:fill="D9E1F2"/>
            <w:noWrap/>
            <w:vAlign w:val="bottom"/>
            <w:hideMark/>
          </w:tcPr>
          <w:p w:rsidR="00832536" w:rsidRPr="00832536" w:rsidRDefault="00832536" w:rsidP="00832536">
            <w:pPr>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2%</w:t>
            </w:r>
          </w:p>
        </w:tc>
        <w:tc>
          <w:tcPr>
            <w:tcW w:w="1379" w:type="pct"/>
            <w:tcBorders>
              <w:top w:val="nil"/>
              <w:left w:val="single" w:sz="4" w:space="0" w:color="auto"/>
              <w:bottom w:val="nil"/>
              <w:right w:val="nil"/>
            </w:tcBorders>
            <w:shd w:val="clear" w:color="000000" w:fill="D9E1F2"/>
            <w:noWrap/>
            <w:vAlign w:val="bottom"/>
            <w:hideMark/>
          </w:tcPr>
          <w:p w:rsidR="00832536" w:rsidRPr="00832536" w:rsidRDefault="00832536" w:rsidP="00832536">
            <w:pPr>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 xml:space="preserve"> Legno e carta </w:t>
            </w:r>
          </w:p>
        </w:tc>
        <w:tc>
          <w:tcPr>
            <w:tcW w:w="690" w:type="pct"/>
            <w:gridSpan w:val="2"/>
            <w:tcBorders>
              <w:top w:val="nil"/>
              <w:left w:val="nil"/>
              <w:bottom w:val="nil"/>
              <w:right w:val="nil"/>
            </w:tcBorders>
            <w:shd w:val="clear" w:color="000000" w:fill="D9E1F2"/>
            <w:noWrap/>
            <w:vAlign w:val="bottom"/>
            <w:hideMark/>
          </w:tcPr>
          <w:p w:rsidR="00832536" w:rsidRPr="00832536" w:rsidRDefault="00832536" w:rsidP="00832536">
            <w:pPr>
              <w:ind w:left="-228" w:firstLine="228"/>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 xml:space="preserve">            99.241.819   </w:t>
            </w:r>
          </w:p>
        </w:tc>
        <w:tc>
          <w:tcPr>
            <w:tcW w:w="234" w:type="pct"/>
            <w:gridSpan w:val="2"/>
            <w:tcBorders>
              <w:top w:val="nil"/>
              <w:left w:val="nil"/>
              <w:bottom w:val="nil"/>
              <w:right w:val="nil"/>
            </w:tcBorders>
            <w:shd w:val="clear" w:color="000000" w:fill="D9E1F2"/>
            <w:noWrap/>
            <w:vAlign w:val="bottom"/>
            <w:hideMark/>
          </w:tcPr>
          <w:p w:rsidR="00832536" w:rsidRPr="00832536" w:rsidRDefault="00832536" w:rsidP="00832536">
            <w:pPr>
              <w:ind w:left="-228" w:firstLine="228"/>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1%</w:t>
            </w:r>
          </w:p>
        </w:tc>
      </w:tr>
      <w:tr w:rsidR="00832536" w:rsidRPr="00832536" w:rsidTr="00832536">
        <w:trPr>
          <w:gridAfter w:val="1"/>
          <w:wAfter w:w="160" w:type="pct"/>
          <w:trHeight w:val="270"/>
        </w:trPr>
        <w:tc>
          <w:tcPr>
            <w:tcW w:w="1450" w:type="pct"/>
            <w:tcBorders>
              <w:top w:val="nil"/>
              <w:left w:val="nil"/>
              <w:bottom w:val="nil"/>
              <w:right w:val="nil"/>
            </w:tcBorders>
            <w:shd w:val="clear" w:color="auto" w:fill="auto"/>
            <w:noWrap/>
            <w:vAlign w:val="bottom"/>
            <w:hideMark/>
          </w:tcPr>
          <w:p w:rsidR="00832536" w:rsidRPr="00832536" w:rsidRDefault="00832536" w:rsidP="00832536">
            <w:pPr>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Minerali non metalliferi</w:t>
            </w:r>
          </w:p>
        </w:tc>
        <w:tc>
          <w:tcPr>
            <w:tcW w:w="764" w:type="pct"/>
            <w:tcBorders>
              <w:top w:val="nil"/>
              <w:left w:val="nil"/>
              <w:bottom w:val="nil"/>
              <w:right w:val="nil"/>
            </w:tcBorders>
            <w:shd w:val="clear" w:color="auto" w:fill="auto"/>
            <w:noWrap/>
            <w:vAlign w:val="bottom"/>
            <w:hideMark/>
          </w:tcPr>
          <w:p w:rsidR="00832536" w:rsidRPr="00832536" w:rsidRDefault="00832536" w:rsidP="00832536">
            <w:pPr>
              <w:ind w:left="-351" w:right="149" w:firstLine="351"/>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 xml:space="preserve">          111.342.622   </w:t>
            </w:r>
          </w:p>
        </w:tc>
        <w:tc>
          <w:tcPr>
            <w:tcW w:w="323" w:type="pct"/>
            <w:tcBorders>
              <w:top w:val="nil"/>
              <w:left w:val="nil"/>
              <w:bottom w:val="nil"/>
              <w:right w:val="nil"/>
            </w:tcBorders>
            <w:shd w:val="clear" w:color="auto" w:fill="auto"/>
            <w:noWrap/>
            <w:vAlign w:val="bottom"/>
            <w:hideMark/>
          </w:tcPr>
          <w:p w:rsidR="00832536" w:rsidRPr="00832536" w:rsidRDefault="00832536" w:rsidP="00832536">
            <w:pPr>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1%</w:t>
            </w:r>
          </w:p>
        </w:tc>
        <w:tc>
          <w:tcPr>
            <w:tcW w:w="1379" w:type="pct"/>
            <w:tcBorders>
              <w:top w:val="nil"/>
              <w:left w:val="single" w:sz="4" w:space="0" w:color="auto"/>
              <w:bottom w:val="nil"/>
              <w:right w:val="nil"/>
            </w:tcBorders>
            <w:shd w:val="clear" w:color="auto" w:fill="auto"/>
            <w:noWrap/>
            <w:vAlign w:val="bottom"/>
            <w:hideMark/>
          </w:tcPr>
          <w:p w:rsidR="00832536" w:rsidRPr="00832536" w:rsidRDefault="00832536" w:rsidP="00832536">
            <w:pPr>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 xml:space="preserve"> Materie prime secondarie e rifiuti </w:t>
            </w:r>
          </w:p>
        </w:tc>
        <w:tc>
          <w:tcPr>
            <w:tcW w:w="690" w:type="pct"/>
            <w:gridSpan w:val="2"/>
            <w:tcBorders>
              <w:top w:val="nil"/>
              <w:left w:val="nil"/>
              <w:bottom w:val="nil"/>
              <w:right w:val="nil"/>
            </w:tcBorders>
            <w:shd w:val="clear" w:color="auto" w:fill="auto"/>
            <w:noWrap/>
            <w:vAlign w:val="bottom"/>
            <w:hideMark/>
          </w:tcPr>
          <w:p w:rsidR="00832536" w:rsidRPr="00832536" w:rsidRDefault="00832536" w:rsidP="00832536">
            <w:pPr>
              <w:ind w:left="-228" w:firstLine="228"/>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 xml:space="preserve">            39.038.502   </w:t>
            </w:r>
          </w:p>
        </w:tc>
        <w:tc>
          <w:tcPr>
            <w:tcW w:w="234" w:type="pct"/>
            <w:gridSpan w:val="2"/>
            <w:tcBorders>
              <w:top w:val="nil"/>
              <w:left w:val="nil"/>
              <w:bottom w:val="nil"/>
              <w:right w:val="nil"/>
            </w:tcBorders>
            <w:shd w:val="clear" w:color="auto" w:fill="auto"/>
            <w:noWrap/>
            <w:vAlign w:val="bottom"/>
            <w:hideMark/>
          </w:tcPr>
          <w:p w:rsidR="00832536" w:rsidRPr="00832536" w:rsidRDefault="00832536" w:rsidP="00832536">
            <w:pPr>
              <w:ind w:left="-228" w:firstLine="228"/>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0%</w:t>
            </w:r>
          </w:p>
        </w:tc>
      </w:tr>
      <w:tr w:rsidR="00832536" w:rsidRPr="00832536" w:rsidTr="00832536">
        <w:trPr>
          <w:gridAfter w:val="1"/>
          <w:wAfter w:w="160" w:type="pct"/>
          <w:trHeight w:val="270"/>
        </w:trPr>
        <w:tc>
          <w:tcPr>
            <w:tcW w:w="1450" w:type="pct"/>
            <w:tcBorders>
              <w:top w:val="nil"/>
              <w:left w:val="nil"/>
              <w:bottom w:val="nil"/>
              <w:right w:val="nil"/>
            </w:tcBorders>
            <w:shd w:val="clear" w:color="000000" w:fill="D9E1F2"/>
            <w:noWrap/>
            <w:vAlign w:val="bottom"/>
            <w:hideMark/>
          </w:tcPr>
          <w:p w:rsidR="00832536" w:rsidRPr="00832536" w:rsidRDefault="00832536" w:rsidP="00832536">
            <w:pPr>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Materie prime secondarie e rifiuti</w:t>
            </w:r>
          </w:p>
        </w:tc>
        <w:tc>
          <w:tcPr>
            <w:tcW w:w="764" w:type="pct"/>
            <w:tcBorders>
              <w:top w:val="nil"/>
              <w:left w:val="nil"/>
              <w:bottom w:val="nil"/>
              <w:right w:val="nil"/>
            </w:tcBorders>
            <w:shd w:val="clear" w:color="000000" w:fill="D9E1F2"/>
            <w:noWrap/>
            <w:vAlign w:val="bottom"/>
            <w:hideMark/>
          </w:tcPr>
          <w:p w:rsidR="00832536" w:rsidRPr="00832536" w:rsidRDefault="00832536" w:rsidP="00832536">
            <w:pPr>
              <w:ind w:left="-351" w:right="149" w:firstLine="351"/>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 xml:space="preserve">           28.300.624   </w:t>
            </w:r>
          </w:p>
        </w:tc>
        <w:tc>
          <w:tcPr>
            <w:tcW w:w="323" w:type="pct"/>
            <w:tcBorders>
              <w:top w:val="nil"/>
              <w:left w:val="nil"/>
              <w:bottom w:val="nil"/>
              <w:right w:val="nil"/>
            </w:tcBorders>
            <w:shd w:val="clear" w:color="000000" w:fill="D9E1F2"/>
            <w:noWrap/>
            <w:vAlign w:val="bottom"/>
            <w:hideMark/>
          </w:tcPr>
          <w:p w:rsidR="00832536" w:rsidRPr="00832536" w:rsidRDefault="00832536" w:rsidP="00832536">
            <w:pPr>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0%</w:t>
            </w:r>
          </w:p>
        </w:tc>
        <w:tc>
          <w:tcPr>
            <w:tcW w:w="1379" w:type="pct"/>
            <w:tcBorders>
              <w:top w:val="nil"/>
              <w:left w:val="single" w:sz="4" w:space="0" w:color="auto"/>
              <w:bottom w:val="nil"/>
              <w:right w:val="nil"/>
            </w:tcBorders>
            <w:shd w:val="clear" w:color="000000" w:fill="D9E1F2"/>
            <w:noWrap/>
            <w:vAlign w:val="bottom"/>
            <w:hideMark/>
          </w:tcPr>
          <w:p w:rsidR="00832536" w:rsidRPr="00832536" w:rsidRDefault="00832536" w:rsidP="00832536">
            <w:pPr>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 xml:space="preserve"> Coke e prodotti petroliferi raffinati </w:t>
            </w:r>
          </w:p>
        </w:tc>
        <w:tc>
          <w:tcPr>
            <w:tcW w:w="690" w:type="pct"/>
            <w:gridSpan w:val="2"/>
            <w:tcBorders>
              <w:top w:val="nil"/>
              <w:left w:val="nil"/>
              <w:bottom w:val="nil"/>
              <w:right w:val="nil"/>
            </w:tcBorders>
            <w:shd w:val="clear" w:color="000000" w:fill="D9E1F2"/>
            <w:noWrap/>
            <w:vAlign w:val="bottom"/>
            <w:hideMark/>
          </w:tcPr>
          <w:p w:rsidR="00832536" w:rsidRPr="00832536" w:rsidRDefault="00832536" w:rsidP="00832536">
            <w:pPr>
              <w:ind w:left="-228" w:firstLine="228"/>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 xml:space="preserve">              9.656.203   </w:t>
            </w:r>
          </w:p>
        </w:tc>
        <w:tc>
          <w:tcPr>
            <w:tcW w:w="234" w:type="pct"/>
            <w:gridSpan w:val="2"/>
            <w:tcBorders>
              <w:top w:val="nil"/>
              <w:left w:val="nil"/>
              <w:bottom w:val="nil"/>
              <w:right w:val="nil"/>
            </w:tcBorders>
            <w:shd w:val="clear" w:color="000000" w:fill="D9E1F2"/>
            <w:noWrap/>
            <w:vAlign w:val="bottom"/>
            <w:hideMark/>
          </w:tcPr>
          <w:p w:rsidR="00832536" w:rsidRPr="00832536" w:rsidRDefault="00832536" w:rsidP="00832536">
            <w:pPr>
              <w:ind w:left="-228" w:firstLine="228"/>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0%</w:t>
            </w:r>
          </w:p>
        </w:tc>
      </w:tr>
      <w:tr w:rsidR="00832536" w:rsidRPr="00832536" w:rsidTr="00832536">
        <w:trPr>
          <w:gridAfter w:val="1"/>
          <w:wAfter w:w="160" w:type="pct"/>
          <w:trHeight w:val="270"/>
        </w:trPr>
        <w:tc>
          <w:tcPr>
            <w:tcW w:w="1450" w:type="pct"/>
            <w:tcBorders>
              <w:top w:val="nil"/>
              <w:left w:val="nil"/>
              <w:bottom w:val="nil"/>
              <w:right w:val="nil"/>
            </w:tcBorders>
            <w:shd w:val="clear" w:color="auto" w:fill="auto"/>
            <w:noWrap/>
            <w:vAlign w:val="bottom"/>
            <w:hideMark/>
          </w:tcPr>
          <w:p w:rsidR="00832536" w:rsidRPr="00832536" w:rsidRDefault="00832536" w:rsidP="00832536">
            <w:pPr>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petrolio greggio e gas naturale</w:t>
            </w:r>
          </w:p>
        </w:tc>
        <w:tc>
          <w:tcPr>
            <w:tcW w:w="764" w:type="pct"/>
            <w:tcBorders>
              <w:top w:val="nil"/>
              <w:left w:val="nil"/>
              <w:bottom w:val="nil"/>
              <w:right w:val="nil"/>
            </w:tcBorders>
            <w:shd w:val="clear" w:color="auto" w:fill="auto"/>
            <w:noWrap/>
            <w:vAlign w:val="bottom"/>
            <w:hideMark/>
          </w:tcPr>
          <w:p w:rsidR="00832536" w:rsidRPr="00832536" w:rsidRDefault="00832536" w:rsidP="00832536">
            <w:pPr>
              <w:ind w:left="-351" w:right="149" w:firstLine="351"/>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 xml:space="preserve">           24.216.764   </w:t>
            </w:r>
          </w:p>
        </w:tc>
        <w:tc>
          <w:tcPr>
            <w:tcW w:w="323" w:type="pct"/>
            <w:tcBorders>
              <w:top w:val="nil"/>
              <w:left w:val="nil"/>
              <w:bottom w:val="nil"/>
              <w:right w:val="nil"/>
            </w:tcBorders>
            <w:shd w:val="clear" w:color="auto" w:fill="auto"/>
            <w:noWrap/>
            <w:vAlign w:val="bottom"/>
            <w:hideMark/>
          </w:tcPr>
          <w:p w:rsidR="00832536" w:rsidRPr="00832536" w:rsidRDefault="00832536" w:rsidP="00832536">
            <w:pPr>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0%</w:t>
            </w:r>
          </w:p>
        </w:tc>
        <w:tc>
          <w:tcPr>
            <w:tcW w:w="1379" w:type="pct"/>
            <w:tcBorders>
              <w:top w:val="nil"/>
              <w:left w:val="single" w:sz="4" w:space="0" w:color="auto"/>
              <w:bottom w:val="nil"/>
              <w:right w:val="nil"/>
            </w:tcBorders>
            <w:shd w:val="clear" w:color="auto" w:fill="auto"/>
            <w:noWrap/>
            <w:vAlign w:val="bottom"/>
            <w:hideMark/>
          </w:tcPr>
          <w:p w:rsidR="00832536" w:rsidRPr="00832536" w:rsidRDefault="00832536" w:rsidP="00832536">
            <w:pPr>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 xml:space="preserve"> Altre merci </w:t>
            </w:r>
          </w:p>
        </w:tc>
        <w:tc>
          <w:tcPr>
            <w:tcW w:w="690" w:type="pct"/>
            <w:gridSpan w:val="2"/>
            <w:tcBorders>
              <w:top w:val="nil"/>
              <w:left w:val="nil"/>
              <w:bottom w:val="nil"/>
              <w:right w:val="nil"/>
            </w:tcBorders>
            <w:shd w:val="clear" w:color="auto" w:fill="auto"/>
            <w:noWrap/>
            <w:vAlign w:val="bottom"/>
            <w:hideMark/>
          </w:tcPr>
          <w:p w:rsidR="00832536" w:rsidRPr="00832536" w:rsidRDefault="00832536" w:rsidP="00832536">
            <w:pPr>
              <w:ind w:left="-228" w:firstLine="228"/>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 xml:space="preserve">              8.988.582   </w:t>
            </w:r>
          </w:p>
        </w:tc>
        <w:tc>
          <w:tcPr>
            <w:tcW w:w="234" w:type="pct"/>
            <w:gridSpan w:val="2"/>
            <w:tcBorders>
              <w:top w:val="nil"/>
              <w:left w:val="nil"/>
              <w:bottom w:val="nil"/>
              <w:right w:val="nil"/>
            </w:tcBorders>
            <w:shd w:val="clear" w:color="auto" w:fill="auto"/>
            <w:noWrap/>
            <w:vAlign w:val="bottom"/>
            <w:hideMark/>
          </w:tcPr>
          <w:p w:rsidR="00832536" w:rsidRPr="00832536" w:rsidRDefault="00832536" w:rsidP="00832536">
            <w:pPr>
              <w:ind w:left="-228" w:firstLine="228"/>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0%</w:t>
            </w:r>
          </w:p>
        </w:tc>
      </w:tr>
      <w:tr w:rsidR="00832536" w:rsidRPr="00832536" w:rsidTr="00832536">
        <w:trPr>
          <w:gridAfter w:val="1"/>
          <w:wAfter w:w="160" w:type="pct"/>
          <w:trHeight w:val="270"/>
        </w:trPr>
        <w:tc>
          <w:tcPr>
            <w:tcW w:w="1450" w:type="pct"/>
            <w:tcBorders>
              <w:top w:val="nil"/>
              <w:left w:val="nil"/>
              <w:bottom w:val="nil"/>
              <w:right w:val="nil"/>
            </w:tcBorders>
            <w:shd w:val="clear" w:color="000000" w:fill="D9E1F2"/>
            <w:noWrap/>
            <w:vAlign w:val="bottom"/>
            <w:hideMark/>
          </w:tcPr>
          <w:p w:rsidR="00832536" w:rsidRPr="00832536" w:rsidRDefault="00832536" w:rsidP="00832536">
            <w:pPr>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Coke e prodotti petroliferi raffinati</w:t>
            </w:r>
          </w:p>
        </w:tc>
        <w:tc>
          <w:tcPr>
            <w:tcW w:w="764" w:type="pct"/>
            <w:tcBorders>
              <w:top w:val="nil"/>
              <w:left w:val="nil"/>
              <w:bottom w:val="nil"/>
              <w:right w:val="nil"/>
            </w:tcBorders>
            <w:shd w:val="clear" w:color="000000" w:fill="D9E1F2"/>
            <w:noWrap/>
            <w:vAlign w:val="bottom"/>
            <w:hideMark/>
          </w:tcPr>
          <w:p w:rsidR="00832536" w:rsidRPr="00832536" w:rsidRDefault="00832536" w:rsidP="00832536">
            <w:pPr>
              <w:ind w:left="-351" w:right="149" w:firstLine="351"/>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 xml:space="preserve">           22.992.537   </w:t>
            </w:r>
          </w:p>
        </w:tc>
        <w:tc>
          <w:tcPr>
            <w:tcW w:w="323" w:type="pct"/>
            <w:tcBorders>
              <w:top w:val="nil"/>
              <w:left w:val="nil"/>
              <w:bottom w:val="nil"/>
              <w:right w:val="nil"/>
            </w:tcBorders>
            <w:shd w:val="clear" w:color="000000" w:fill="D9E1F2"/>
            <w:noWrap/>
            <w:vAlign w:val="bottom"/>
            <w:hideMark/>
          </w:tcPr>
          <w:p w:rsidR="00832536" w:rsidRPr="00832536" w:rsidRDefault="00832536" w:rsidP="00832536">
            <w:pPr>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0%</w:t>
            </w:r>
          </w:p>
        </w:tc>
        <w:tc>
          <w:tcPr>
            <w:tcW w:w="1379" w:type="pct"/>
            <w:tcBorders>
              <w:top w:val="nil"/>
              <w:left w:val="single" w:sz="4" w:space="0" w:color="auto"/>
              <w:bottom w:val="nil"/>
              <w:right w:val="nil"/>
            </w:tcBorders>
            <w:shd w:val="clear" w:color="000000" w:fill="D9E1F2"/>
            <w:noWrap/>
            <w:vAlign w:val="bottom"/>
            <w:hideMark/>
          </w:tcPr>
          <w:p w:rsidR="00832536" w:rsidRPr="00832536" w:rsidRDefault="00832536" w:rsidP="00832536">
            <w:pPr>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 xml:space="preserve"> Minerali metalliferi ed altri prodotti minerari </w:t>
            </w:r>
          </w:p>
        </w:tc>
        <w:tc>
          <w:tcPr>
            <w:tcW w:w="690" w:type="pct"/>
            <w:gridSpan w:val="2"/>
            <w:tcBorders>
              <w:top w:val="nil"/>
              <w:left w:val="nil"/>
              <w:bottom w:val="nil"/>
              <w:right w:val="nil"/>
            </w:tcBorders>
            <w:shd w:val="clear" w:color="000000" w:fill="D9E1F2"/>
            <w:noWrap/>
            <w:vAlign w:val="bottom"/>
            <w:hideMark/>
          </w:tcPr>
          <w:p w:rsidR="00832536" w:rsidRPr="00832536" w:rsidRDefault="00832536" w:rsidP="00832536">
            <w:pPr>
              <w:ind w:left="-228" w:firstLine="228"/>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 xml:space="preserve">              2.644.076   </w:t>
            </w:r>
          </w:p>
        </w:tc>
        <w:tc>
          <w:tcPr>
            <w:tcW w:w="234" w:type="pct"/>
            <w:gridSpan w:val="2"/>
            <w:tcBorders>
              <w:top w:val="nil"/>
              <w:left w:val="nil"/>
              <w:bottom w:val="nil"/>
              <w:right w:val="nil"/>
            </w:tcBorders>
            <w:shd w:val="clear" w:color="000000" w:fill="D9E1F2"/>
            <w:noWrap/>
            <w:vAlign w:val="bottom"/>
            <w:hideMark/>
          </w:tcPr>
          <w:p w:rsidR="00832536" w:rsidRPr="00832536" w:rsidRDefault="00832536" w:rsidP="00832536">
            <w:pPr>
              <w:ind w:left="-228" w:firstLine="228"/>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0%</w:t>
            </w:r>
          </w:p>
        </w:tc>
      </w:tr>
      <w:tr w:rsidR="00832536" w:rsidRPr="00832536" w:rsidTr="00832536">
        <w:trPr>
          <w:gridAfter w:val="1"/>
          <w:wAfter w:w="160" w:type="pct"/>
          <w:trHeight w:val="270"/>
        </w:trPr>
        <w:tc>
          <w:tcPr>
            <w:tcW w:w="1450" w:type="pct"/>
            <w:tcBorders>
              <w:top w:val="nil"/>
              <w:left w:val="nil"/>
              <w:bottom w:val="nil"/>
              <w:right w:val="nil"/>
            </w:tcBorders>
            <w:shd w:val="clear" w:color="auto" w:fill="auto"/>
            <w:noWrap/>
            <w:vAlign w:val="bottom"/>
            <w:hideMark/>
          </w:tcPr>
          <w:p w:rsidR="00832536" w:rsidRPr="00832536" w:rsidRDefault="00832536" w:rsidP="00832536">
            <w:pPr>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Altre merci</w:t>
            </w:r>
          </w:p>
        </w:tc>
        <w:tc>
          <w:tcPr>
            <w:tcW w:w="764" w:type="pct"/>
            <w:tcBorders>
              <w:top w:val="nil"/>
              <w:left w:val="nil"/>
              <w:bottom w:val="nil"/>
              <w:right w:val="nil"/>
            </w:tcBorders>
            <w:shd w:val="clear" w:color="auto" w:fill="auto"/>
            <w:noWrap/>
            <w:vAlign w:val="bottom"/>
            <w:hideMark/>
          </w:tcPr>
          <w:p w:rsidR="00832536" w:rsidRPr="00832536" w:rsidRDefault="00832536" w:rsidP="00832536">
            <w:pPr>
              <w:ind w:left="-351" w:right="149" w:firstLine="351"/>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 xml:space="preserve">                506.366   </w:t>
            </w:r>
          </w:p>
        </w:tc>
        <w:tc>
          <w:tcPr>
            <w:tcW w:w="323" w:type="pct"/>
            <w:tcBorders>
              <w:top w:val="nil"/>
              <w:left w:val="nil"/>
              <w:bottom w:val="nil"/>
              <w:right w:val="nil"/>
            </w:tcBorders>
            <w:shd w:val="clear" w:color="auto" w:fill="auto"/>
            <w:noWrap/>
            <w:vAlign w:val="bottom"/>
            <w:hideMark/>
          </w:tcPr>
          <w:p w:rsidR="00832536" w:rsidRPr="00832536" w:rsidRDefault="00832536" w:rsidP="00832536">
            <w:pPr>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0%</w:t>
            </w:r>
          </w:p>
        </w:tc>
        <w:tc>
          <w:tcPr>
            <w:tcW w:w="1379" w:type="pct"/>
            <w:tcBorders>
              <w:top w:val="nil"/>
              <w:left w:val="single" w:sz="4" w:space="0" w:color="auto"/>
              <w:bottom w:val="nil"/>
              <w:right w:val="nil"/>
            </w:tcBorders>
            <w:shd w:val="clear" w:color="auto" w:fill="auto"/>
            <w:noWrap/>
            <w:vAlign w:val="bottom"/>
            <w:hideMark/>
          </w:tcPr>
          <w:p w:rsidR="00832536" w:rsidRPr="00832536" w:rsidRDefault="00832536" w:rsidP="00832536">
            <w:pPr>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 xml:space="preserve"> Merci non individuabili </w:t>
            </w:r>
          </w:p>
        </w:tc>
        <w:tc>
          <w:tcPr>
            <w:tcW w:w="690" w:type="pct"/>
            <w:gridSpan w:val="2"/>
            <w:tcBorders>
              <w:top w:val="nil"/>
              <w:left w:val="nil"/>
              <w:bottom w:val="nil"/>
              <w:right w:val="nil"/>
            </w:tcBorders>
            <w:shd w:val="clear" w:color="auto" w:fill="auto"/>
            <w:noWrap/>
            <w:vAlign w:val="bottom"/>
            <w:hideMark/>
          </w:tcPr>
          <w:p w:rsidR="00832536" w:rsidRPr="00832536" w:rsidRDefault="00832536" w:rsidP="00832536">
            <w:pPr>
              <w:ind w:left="-228" w:firstLine="228"/>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 xml:space="preserve">                 180.982   </w:t>
            </w:r>
          </w:p>
        </w:tc>
        <w:tc>
          <w:tcPr>
            <w:tcW w:w="234" w:type="pct"/>
            <w:gridSpan w:val="2"/>
            <w:tcBorders>
              <w:top w:val="nil"/>
              <w:left w:val="nil"/>
              <w:bottom w:val="nil"/>
              <w:right w:val="nil"/>
            </w:tcBorders>
            <w:shd w:val="clear" w:color="auto" w:fill="auto"/>
            <w:noWrap/>
            <w:vAlign w:val="bottom"/>
            <w:hideMark/>
          </w:tcPr>
          <w:p w:rsidR="00832536" w:rsidRPr="00832536" w:rsidRDefault="00832536" w:rsidP="00832536">
            <w:pPr>
              <w:ind w:left="-228" w:firstLine="228"/>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0%</w:t>
            </w:r>
          </w:p>
        </w:tc>
      </w:tr>
      <w:tr w:rsidR="00832536" w:rsidRPr="00832536" w:rsidTr="00832536">
        <w:trPr>
          <w:gridAfter w:val="1"/>
          <w:wAfter w:w="160" w:type="pct"/>
          <w:trHeight w:val="270"/>
        </w:trPr>
        <w:tc>
          <w:tcPr>
            <w:tcW w:w="1450" w:type="pct"/>
            <w:tcBorders>
              <w:top w:val="nil"/>
              <w:left w:val="nil"/>
              <w:bottom w:val="nil"/>
              <w:right w:val="nil"/>
            </w:tcBorders>
            <w:shd w:val="clear" w:color="000000" w:fill="D9E1F2"/>
            <w:noWrap/>
            <w:vAlign w:val="bottom"/>
            <w:hideMark/>
          </w:tcPr>
          <w:p w:rsidR="00832536" w:rsidRPr="00832536" w:rsidRDefault="00832536" w:rsidP="00832536">
            <w:pPr>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Merci non individuabili</w:t>
            </w:r>
          </w:p>
        </w:tc>
        <w:tc>
          <w:tcPr>
            <w:tcW w:w="764" w:type="pct"/>
            <w:tcBorders>
              <w:top w:val="nil"/>
              <w:left w:val="nil"/>
              <w:bottom w:val="nil"/>
              <w:right w:val="nil"/>
            </w:tcBorders>
            <w:shd w:val="clear" w:color="000000" w:fill="D9E1F2"/>
            <w:noWrap/>
            <w:vAlign w:val="bottom"/>
            <w:hideMark/>
          </w:tcPr>
          <w:p w:rsidR="00832536" w:rsidRPr="00832536" w:rsidRDefault="00832536" w:rsidP="00832536">
            <w:pPr>
              <w:ind w:left="-351" w:right="149" w:firstLine="351"/>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 xml:space="preserve">                125.723   </w:t>
            </w:r>
          </w:p>
        </w:tc>
        <w:tc>
          <w:tcPr>
            <w:tcW w:w="323" w:type="pct"/>
            <w:tcBorders>
              <w:top w:val="nil"/>
              <w:left w:val="nil"/>
              <w:bottom w:val="nil"/>
              <w:right w:val="nil"/>
            </w:tcBorders>
            <w:shd w:val="clear" w:color="000000" w:fill="D9E1F2"/>
            <w:noWrap/>
            <w:vAlign w:val="bottom"/>
            <w:hideMark/>
          </w:tcPr>
          <w:p w:rsidR="00832536" w:rsidRPr="00832536" w:rsidRDefault="00832536" w:rsidP="00832536">
            <w:pPr>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0%</w:t>
            </w:r>
          </w:p>
        </w:tc>
        <w:tc>
          <w:tcPr>
            <w:tcW w:w="1379" w:type="pct"/>
            <w:tcBorders>
              <w:top w:val="nil"/>
              <w:left w:val="single" w:sz="4" w:space="0" w:color="auto"/>
              <w:bottom w:val="nil"/>
              <w:right w:val="nil"/>
            </w:tcBorders>
            <w:shd w:val="clear" w:color="000000" w:fill="D9E1F2"/>
            <w:noWrap/>
            <w:vAlign w:val="bottom"/>
            <w:hideMark/>
          </w:tcPr>
          <w:p w:rsidR="00832536" w:rsidRPr="00832536" w:rsidRDefault="00832536" w:rsidP="00832536">
            <w:pPr>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 xml:space="preserve"> Bagagli  </w:t>
            </w:r>
          </w:p>
        </w:tc>
        <w:tc>
          <w:tcPr>
            <w:tcW w:w="690" w:type="pct"/>
            <w:gridSpan w:val="2"/>
            <w:tcBorders>
              <w:top w:val="nil"/>
              <w:left w:val="nil"/>
              <w:bottom w:val="nil"/>
              <w:right w:val="nil"/>
            </w:tcBorders>
            <w:shd w:val="clear" w:color="000000" w:fill="D9E1F2"/>
            <w:noWrap/>
            <w:vAlign w:val="bottom"/>
            <w:hideMark/>
          </w:tcPr>
          <w:p w:rsidR="00832536" w:rsidRPr="00832536" w:rsidRDefault="00832536" w:rsidP="00832536">
            <w:pPr>
              <w:ind w:left="-228" w:firstLine="228"/>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 xml:space="preserve">                   69.248   </w:t>
            </w:r>
          </w:p>
        </w:tc>
        <w:tc>
          <w:tcPr>
            <w:tcW w:w="234" w:type="pct"/>
            <w:gridSpan w:val="2"/>
            <w:tcBorders>
              <w:top w:val="nil"/>
              <w:left w:val="nil"/>
              <w:bottom w:val="nil"/>
              <w:right w:val="nil"/>
            </w:tcBorders>
            <w:shd w:val="clear" w:color="000000" w:fill="D9E1F2"/>
            <w:noWrap/>
            <w:vAlign w:val="bottom"/>
            <w:hideMark/>
          </w:tcPr>
          <w:p w:rsidR="00832536" w:rsidRPr="00832536" w:rsidRDefault="00832536" w:rsidP="00832536">
            <w:pPr>
              <w:ind w:left="-228" w:firstLine="228"/>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0%</w:t>
            </w:r>
          </w:p>
        </w:tc>
      </w:tr>
      <w:tr w:rsidR="00832536" w:rsidRPr="00832536" w:rsidTr="00832536">
        <w:trPr>
          <w:gridAfter w:val="1"/>
          <w:wAfter w:w="160" w:type="pct"/>
          <w:trHeight w:val="270"/>
        </w:trPr>
        <w:tc>
          <w:tcPr>
            <w:tcW w:w="1450" w:type="pct"/>
            <w:tcBorders>
              <w:top w:val="nil"/>
              <w:left w:val="nil"/>
              <w:bottom w:val="nil"/>
              <w:right w:val="nil"/>
            </w:tcBorders>
            <w:shd w:val="clear" w:color="auto" w:fill="auto"/>
            <w:noWrap/>
            <w:vAlign w:val="bottom"/>
            <w:hideMark/>
          </w:tcPr>
          <w:p w:rsidR="00832536" w:rsidRPr="00832536" w:rsidRDefault="00832536" w:rsidP="00832536">
            <w:pPr>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 xml:space="preserve">Bagagli </w:t>
            </w:r>
          </w:p>
        </w:tc>
        <w:tc>
          <w:tcPr>
            <w:tcW w:w="764" w:type="pct"/>
            <w:tcBorders>
              <w:top w:val="nil"/>
              <w:left w:val="nil"/>
              <w:bottom w:val="nil"/>
              <w:right w:val="nil"/>
            </w:tcBorders>
            <w:shd w:val="clear" w:color="auto" w:fill="auto"/>
            <w:noWrap/>
            <w:vAlign w:val="bottom"/>
            <w:hideMark/>
          </w:tcPr>
          <w:p w:rsidR="00832536" w:rsidRPr="00832536" w:rsidRDefault="00832536" w:rsidP="00832536">
            <w:pPr>
              <w:ind w:left="-351" w:right="149" w:firstLine="351"/>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 xml:space="preserve">                  96.121   </w:t>
            </w:r>
          </w:p>
        </w:tc>
        <w:tc>
          <w:tcPr>
            <w:tcW w:w="323" w:type="pct"/>
            <w:tcBorders>
              <w:top w:val="nil"/>
              <w:left w:val="nil"/>
              <w:bottom w:val="nil"/>
              <w:right w:val="nil"/>
            </w:tcBorders>
            <w:shd w:val="clear" w:color="auto" w:fill="auto"/>
            <w:noWrap/>
            <w:vAlign w:val="bottom"/>
            <w:hideMark/>
          </w:tcPr>
          <w:p w:rsidR="00832536" w:rsidRPr="00832536" w:rsidRDefault="00832536" w:rsidP="00832536">
            <w:pPr>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0%</w:t>
            </w:r>
          </w:p>
        </w:tc>
        <w:tc>
          <w:tcPr>
            <w:tcW w:w="1379" w:type="pct"/>
            <w:tcBorders>
              <w:top w:val="nil"/>
              <w:left w:val="single" w:sz="4" w:space="0" w:color="auto"/>
              <w:bottom w:val="nil"/>
              <w:right w:val="nil"/>
            </w:tcBorders>
            <w:shd w:val="clear" w:color="auto" w:fill="auto"/>
            <w:noWrap/>
            <w:vAlign w:val="bottom"/>
            <w:hideMark/>
          </w:tcPr>
          <w:p w:rsidR="00832536" w:rsidRPr="00832536" w:rsidRDefault="00832536" w:rsidP="00832536">
            <w:pPr>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 xml:space="preserve"> petrolio greggio e gas naturale </w:t>
            </w:r>
          </w:p>
        </w:tc>
        <w:tc>
          <w:tcPr>
            <w:tcW w:w="690" w:type="pct"/>
            <w:gridSpan w:val="2"/>
            <w:tcBorders>
              <w:top w:val="nil"/>
              <w:left w:val="nil"/>
              <w:bottom w:val="nil"/>
              <w:right w:val="nil"/>
            </w:tcBorders>
            <w:shd w:val="clear" w:color="auto" w:fill="auto"/>
            <w:noWrap/>
            <w:vAlign w:val="bottom"/>
            <w:hideMark/>
          </w:tcPr>
          <w:p w:rsidR="00832536" w:rsidRPr="00832536" w:rsidRDefault="00832536" w:rsidP="00832536">
            <w:pPr>
              <w:ind w:left="-228" w:firstLine="228"/>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 xml:space="preserve">                   12.444   </w:t>
            </w:r>
          </w:p>
        </w:tc>
        <w:tc>
          <w:tcPr>
            <w:tcW w:w="234" w:type="pct"/>
            <w:gridSpan w:val="2"/>
            <w:tcBorders>
              <w:top w:val="nil"/>
              <w:left w:val="nil"/>
              <w:bottom w:val="nil"/>
              <w:right w:val="nil"/>
            </w:tcBorders>
            <w:shd w:val="clear" w:color="auto" w:fill="auto"/>
            <w:noWrap/>
            <w:vAlign w:val="bottom"/>
            <w:hideMark/>
          </w:tcPr>
          <w:p w:rsidR="00832536" w:rsidRPr="00832536" w:rsidRDefault="00832536" w:rsidP="00832536">
            <w:pPr>
              <w:ind w:left="-228" w:firstLine="228"/>
              <w:jc w:val="right"/>
              <w:rPr>
                <w:rFonts w:asciiTheme="minorHAnsi" w:eastAsia="Times New Roman" w:hAnsiTheme="minorHAnsi" w:cstheme="minorHAnsi"/>
                <w:color w:val="000000"/>
                <w:sz w:val="18"/>
                <w:szCs w:val="18"/>
                <w:lang w:eastAsia="it-IT"/>
              </w:rPr>
            </w:pPr>
            <w:r w:rsidRPr="00832536">
              <w:rPr>
                <w:rFonts w:asciiTheme="minorHAnsi" w:eastAsia="Times New Roman" w:hAnsiTheme="minorHAnsi" w:cstheme="minorHAnsi"/>
                <w:color w:val="000000"/>
                <w:sz w:val="18"/>
                <w:szCs w:val="18"/>
                <w:lang w:eastAsia="it-IT"/>
              </w:rPr>
              <w:t>0%</w:t>
            </w:r>
          </w:p>
        </w:tc>
      </w:tr>
      <w:tr w:rsidR="00832536" w:rsidRPr="00832536" w:rsidTr="00832536">
        <w:trPr>
          <w:trHeight w:val="315"/>
        </w:trPr>
        <w:tc>
          <w:tcPr>
            <w:tcW w:w="1450" w:type="pct"/>
            <w:tcBorders>
              <w:top w:val="nil"/>
              <w:left w:val="nil"/>
              <w:bottom w:val="nil"/>
              <w:right w:val="nil"/>
            </w:tcBorders>
            <w:shd w:val="clear" w:color="000000" w:fill="4472C4"/>
            <w:noWrap/>
            <w:vAlign w:val="bottom"/>
            <w:hideMark/>
          </w:tcPr>
          <w:p w:rsidR="00832536" w:rsidRPr="00832536" w:rsidRDefault="00832536" w:rsidP="00832536">
            <w:pPr>
              <w:rPr>
                <w:rFonts w:asciiTheme="minorHAnsi" w:eastAsia="Times New Roman" w:hAnsiTheme="minorHAnsi" w:cstheme="minorHAnsi"/>
                <w:bCs/>
                <w:color w:val="FFFFFF"/>
                <w:sz w:val="16"/>
                <w:szCs w:val="16"/>
                <w:lang w:eastAsia="it-IT"/>
              </w:rPr>
            </w:pPr>
            <w:r w:rsidRPr="00832536">
              <w:rPr>
                <w:rFonts w:asciiTheme="minorHAnsi" w:eastAsia="Times New Roman" w:hAnsiTheme="minorHAnsi" w:cstheme="minorHAnsi"/>
                <w:bCs/>
                <w:color w:val="FFFFFF"/>
                <w:sz w:val="16"/>
                <w:szCs w:val="16"/>
                <w:lang w:eastAsia="it-IT"/>
              </w:rPr>
              <w:t>Totale</w:t>
            </w:r>
          </w:p>
        </w:tc>
        <w:tc>
          <w:tcPr>
            <w:tcW w:w="764" w:type="pct"/>
            <w:tcBorders>
              <w:top w:val="nil"/>
              <w:left w:val="nil"/>
              <w:bottom w:val="nil"/>
              <w:right w:val="nil"/>
            </w:tcBorders>
            <w:shd w:val="clear" w:color="000000" w:fill="4472C4"/>
            <w:noWrap/>
            <w:vAlign w:val="bottom"/>
            <w:hideMark/>
          </w:tcPr>
          <w:p w:rsidR="00832536" w:rsidRPr="00832536" w:rsidRDefault="00832536" w:rsidP="00832536">
            <w:pPr>
              <w:ind w:right="149"/>
              <w:jc w:val="right"/>
              <w:rPr>
                <w:rFonts w:asciiTheme="minorHAnsi" w:eastAsia="Times New Roman" w:hAnsiTheme="minorHAnsi" w:cstheme="minorHAnsi"/>
                <w:bCs/>
                <w:color w:val="FFFFFF"/>
                <w:sz w:val="16"/>
                <w:szCs w:val="16"/>
                <w:lang w:eastAsia="it-IT"/>
              </w:rPr>
            </w:pPr>
            <w:r w:rsidRPr="00832536">
              <w:rPr>
                <w:rFonts w:asciiTheme="minorHAnsi" w:eastAsia="Times New Roman" w:hAnsiTheme="minorHAnsi" w:cstheme="minorHAnsi"/>
                <w:bCs/>
                <w:color w:val="FFFFFF"/>
                <w:sz w:val="16"/>
                <w:szCs w:val="16"/>
                <w:lang w:eastAsia="it-IT"/>
              </w:rPr>
              <w:t xml:space="preserve">       8.957.195.659   </w:t>
            </w:r>
          </w:p>
        </w:tc>
        <w:tc>
          <w:tcPr>
            <w:tcW w:w="323" w:type="pct"/>
            <w:tcBorders>
              <w:top w:val="nil"/>
              <w:left w:val="nil"/>
              <w:bottom w:val="nil"/>
              <w:right w:val="nil"/>
            </w:tcBorders>
            <w:shd w:val="clear" w:color="000000" w:fill="4472C4"/>
            <w:noWrap/>
            <w:vAlign w:val="bottom"/>
            <w:hideMark/>
          </w:tcPr>
          <w:p w:rsidR="00832536" w:rsidRPr="00832536" w:rsidRDefault="00832536" w:rsidP="00832536">
            <w:pPr>
              <w:jc w:val="right"/>
              <w:rPr>
                <w:rFonts w:asciiTheme="minorHAnsi" w:eastAsia="Times New Roman" w:hAnsiTheme="minorHAnsi" w:cstheme="minorHAnsi"/>
                <w:bCs/>
                <w:color w:val="FFFFFF"/>
                <w:sz w:val="16"/>
                <w:szCs w:val="16"/>
                <w:lang w:eastAsia="it-IT"/>
              </w:rPr>
            </w:pPr>
            <w:r w:rsidRPr="00832536">
              <w:rPr>
                <w:rFonts w:asciiTheme="minorHAnsi" w:eastAsia="Times New Roman" w:hAnsiTheme="minorHAnsi" w:cstheme="minorHAnsi"/>
                <w:bCs/>
                <w:color w:val="FFFFFF"/>
                <w:sz w:val="16"/>
                <w:szCs w:val="16"/>
                <w:lang w:eastAsia="it-IT"/>
              </w:rPr>
              <w:t>100%</w:t>
            </w:r>
          </w:p>
        </w:tc>
        <w:tc>
          <w:tcPr>
            <w:tcW w:w="1470" w:type="pct"/>
            <w:gridSpan w:val="2"/>
            <w:tcBorders>
              <w:top w:val="nil"/>
              <w:left w:val="single" w:sz="4" w:space="0" w:color="auto"/>
              <w:bottom w:val="nil"/>
              <w:right w:val="nil"/>
            </w:tcBorders>
            <w:shd w:val="clear" w:color="000000" w:fill="4472C4"/>
            <w:noWrap/>
            <w:vAlign w:val="bottom"/>
            <w:hideMark/>
          </w:tcPr>
          <w:p w:rsidR="00832536" w:rsidRPr="00832536" w:rsidRDefault="00832536" w:rsidP="00832536">
            <w:pPr>
              <w:rPr>
                <w:rFonts w:asciiTheme="minorHAnsi" w:eastAsia="Times New Roman" w:hAnsiTheme="minorHAnsi" w:cstheme="minorHAnsi"/>
                <w:bCs/>
                <w:color w:val="FFFFFF"/>
                <w:sz w:val="16"/>
                <w:szCs w:val="16"/>
                <w:lang w:eastAsia="it-IT"/>
              </w:rPr>
            </w:pPr>
            <w:r w:rsidRPr="00832536">
              <w:rPr>
                <w:rFonts w:asciiTheme="minorHAnsi" w:eastAsia="Times New Roman" w:hAnsiTheme="minorHAnsi" w:cstheme="minorHAnsi"/>
                <w:bCs/>
                <w:color w:val="FFFFFF"/>
                <w:sz w:val="16"/>
                <w:szCs w:val="16"/>
                <w:lang w:eastAsia="it-IT"/>
              </w:rPr>
              <w:t> </w:t>
            </w:r>
          </w:p>
        </w:tc>
        <w:tc>
          <w:tcPr>
            <w:tcW w:w="690" w:type="pct"/>
            <w:gridSpan w:val="2"/>
            <w:tcBorders>
              <w:top w:val="nil"/>
              <w:left w:val="nil"/>
              <w:bottom w:val="nil"/>
              <w:right w:val="nil"/>
            </w:tcBorders>
            <w:shd w:val="clear" w:color="000000" w:fill="4472C4"/>
            <w:noWrap/>
            <w:vAlign w:val="bottom"/>
            <w:hideMark/>
          </w:tcPr>
          <w:p w:rsidR="00832536" w:rsidRPr="00832536" w:rsidRDefault="00832536" w:rsidP="00832536">
            <w:pPr>
              <w:ind w:left="-228" w:firstLine="228"/>
              <w:jc w:val="right"/>
              <w:rPr>
                <w:rFonts w:asciiTheme="minorHAnsi" w:eastAsia="Times New Roman" w:hAnsiTheme="minorHAnsi" w:cstheme="minorHAnsi"/>
                <w:bCs/>
                <w:color w:val="FFFFFF"/>
                <w:sz w:val="16"/>
                <w:szCs w:val="16"/>
                <w:lang w:eastAsia="it-IT"/>
              </w:rPr>
            </w:pPr>
            <w:r w:rsidRPr="00832536">
              <w:rPr>
                <w:rFonts w:asciiTheme="minorHAnsi" w:eastAsia="Times New Roman" w:hAnsiTheme="minorHAnsi" w:cstheme="minorHAnsi"/>
                <w:bCs/>
                <w:color w:val="FFFFFF"/>
                <w:sz w:val="16"/>
                <w:szCs w:val="16"/>
                <w:lang w:eastAsia="it-IT"/>
              </w:rPr>
              <w:t xml:space="preserve">      17.103.280.779   </w:t>
            </w:r>
          </w:p>
        </w:tc>
        <w:tc>
          <w:tcPr>
            <w:tcW w:w="303" w:type="pct"/>
            <w:gridSpan w:val="2"/>
            <w:tcBorders>
              <w:top w:val="nil"/>
              <w:left w:val="nil"/>
              <w:bottom w:val="nil"/>
              <w:right w:val="nil"/>
            </w:tcBorders>
            <w:shd w:val="clear" w:color="000000" w:fill="4472C4"/>
            <w:noWrap/>
            <w:vAlign w:val="bottom"/>
            <w:hideMark/>
          </w:tcPr>
          <w:p w:rsidR="00832536" w:rsidRPr="00832536" w:rsidRDefault="00832536" w:rsidP="00832536">
            <w:pPr>
              <w:jc w:val="right"/>
              <w:rPr>
                <w:rFonts w:asciiTheme="minorHAnsi" w:eastAsia="Times New Roman" w:hAnsiTheme="minorHAnsi" w:cstheme="minorHAnsi"/>
                <w:bCs/>
                <w:color w:val="FFFFFF"/>
                <w:sz w:val="16"/>
                <w:szCs w:val="16"/>
                <w:lang w:eastAsia="it-IT"/>
              </w:rPr>
            </w:pPr>
            <w:r w:rsidRPr="00832536">
              <w:rPr>
                <w:rFonts w:asciiTheme="minorHAnsi" w:eastAsia="Times New Roman" w:hAnsiTheme="minorHAnsi" w:cstheme="minorHAnsi"/>
                <w:bCs/>
                <w:color w:val="FFFFFF"/>
                <w:sz w:val="16"/>
                <w:szCs w:val="16"/>
                <w:lang w:eastAsia="it-IT"/>
              </w:rPr>
              <w:t>100%</w:t>
            </w:r>
          </w:p>
        </w:tc>
      </w:tr>
    </w:tbl>
    <w:p w:rsidR="006266D9" w:rsidRPr="00600799" w:rsidRDefault="006266D9" w:rsidP="006266D9">
      <w:pPr>
        <w:rPr>
          <w:sz w:val="20"/>
          <w:szCs w:val="20"/>
        </w:rPr>
      </w:pPr>
      <w:proofErr w:type="spellStart"/>
      <w:r w:rsidRPr="00600799">
        <w:rPr>
          <w:sz w:val="20"/>
          <w:szCs w:val="20"/>
        </w:rPr>
        <w:t>Tab</w:t>
      </w:r>
      <w:proofErr w:type="spellEnd"/>
      <w:r w:rsidRPr="00600799">
        <w:rPr>
          <w:sz w:val="20"/>
          <w:szCs w:val="20"/>
        </w:rPr>
        <w:t xml:space="preserve">. </w:t>
      </w:r>
      <w:r w:rsidR="00600799" w:rsidRPr="00600799">
        <w:rPr>
          <w:sz w:val="20"/>
          <w:szCs w:val="20"/>
        </w:rPr>
        <w:t>2</w:t>
      </w:r>
      <w:r w:rsidRPr="00600799">
        <w:rPr>
          <w:sz w:val="20"/>
          <w:szCs w:val="20"/>
        </w:rPr>
        <w:t xml:space="preserve"> - Fonte: SRM su </w:t>
      </w:r>
      <w:proofErr w:type="spellStart"/>
      <w:r w:rsidRPr="00600799">
        <w:rPr>
          <w:sz w:val="20"/>
          <w:szCs w:val="20"/>
        </w:rPr>
        <w:t>Coeweb</w:t>
      </w:r>
      <w:proofErr w:type="spellEnd"/>
    </w:p>
    <w:p w:rsidR="000B3273" w:rsidRDefault="000B3273">
      <w:pPr>
        <w:rPr>
          <w:sz w:val="18"/>
          <w:szCs w:val="18"/>
        </w:rPr>
      </w:pPr>
    </w:p>
    <w:p w:rsidR="00D93E7B" w:rsidRDefault="00D93E7B">
      <w:pPr>
        <w:rPr>
          <w:sz w:val="18"/>
          <w:szCs w:val="18"/>
        </w:rPr>
      </w:pPr>
    </w:p>
    <w:p w:rsidR="005C3A74" w:rsidRDefault="005C3A74">
      <w:pPr>
        <w:rPr>
          <w:b/>
          <w:sz w:val="28"/>
          <w:szCs w:val="28"/>
        </w:rPr>
      </w:pPr>
      <w:r>
        <w:rPr>
          <w:b/>
          <w:sz w:val="28"/>
          <w:szCs w:val="28"/>
        </w:rPr>
        <w:t xml:space="preserve">Imprese logistiche presenti in </w:t>
      </w:r>
      <w:r w:rsidR="00A71139">
        <w:rPr>
          <w:b/>
          <w:sz w:val="28"/>
          <w:szCs w:val="28"/>
        </w:rPr>
        <w:t>Emilia-Romagna</w:t>
      </w:r>
    </w:p>
    <w:p w:rsidR="005C3A74" w:rsidRDefault="005C3A74">
      <w:pPr>
        <w:rPr>
          <w:b/>
          <w:sz w:val="28"/>
          <w:szCs w:val="28"/>
        </w:rPr>
      </w:pPr>
    </w:p>
    <w:p w:rsidR="006C1ED9" w:rsidRDefault="006C1ED9">
      <w:pPr>
        <w:rPr>
          <w:sz w:val="24"/>
          <w:szCs w:val="24"/>
        </w:rPr>
      </w:pPr>
      <w:r>
        <w:rPr>
          <w:sz w:val="24"/>
          <w:szCs w:val="24"/>
        </w:rPr>
        <w:t xml:space="preserve">In </w:t>
      </w:r>
      <w:bookmarkStart w:id="1" w:name="_Hlk77241403"/>
      <w:r w:rsidR="00A71139">
        <w:rPr>
          <w:sz w:val="24"/>
          <w:szCs w:val="24"/>
        </w:rPr>
        <w:t>Emilia-Romagna</w:t>
      </w:r>
      <w:r>
        <w:rPr>
          <w:sz w:val="24"/>
          <w:szCs w:val="24"/>
        </w:rPr>
        <w:t xml:space="preserve"> sono presenti </w:t>
      </w:r>
      <w:r w:rsidR="00860007">
        <w:rPr>
          <w:sz w:val="24"/>
          <w:szCs w:val="24"/>
        </w:rPr>
        <w:t>oltre</w:t>
      </w:r>
      <w:r>
        <w:rPr>
          <w:sz w:val="24"/>
          <w:szCs w:val="24"/>
        </w:rPr>
        <w:t xml:space="preserve"> 10</w:t>
      </w:r>
      <w:r w:rsidR="00104A1C">
        <w:rPr>
          <w:sz w:val="24"/>
          <w:szCs w:val="24"/>
        </w:rPr>
        <w:t>.400 imprese attive nella catena logistica, pari al 9,</w:t>
      </w:r>
      <w:r w:rsidR="00860007">
        <w:rPr>
          <w:sz w:val="24"/>
          <w:szCs w:val="24"/>
        </w:rPr>
        <w:t>6</w:t>
      </w:r>
      <w:r w:rsidR="00104A1C">
        <w:rPr>
          <w:sz w:val="24"/>
          <w:szCs w:val="24"/>
        </w:rPr>
        <w:t>% delle imprese logistiche nazionali</w:t>
      </w:r>
      <w:r w:rsidR="001D26F1">
        <w:rPr>
          <w:sz w:val="24"/>
          <w:szCs w:val="24"/>
        </w:rPr>
        <w:t>, che occupano circa 91 mila persone</w:t>
      </w:r>
      <w:bookmarkEnd w:id="1"/>
      <w:r w:rsidR="001D26F1">
        <w:rPr>
          <w:sz w:val="24"/>
          <w:szCs w:val="24"/>
        </w:rPr>
        <w:t>.</w:t>
      </w:r>
    </w:p>
    <w:p w:rsidR="00282ABD" w:rsidRDefault="00860007" w:rsidP="00104A1C">
      <w:pPr>
        <w:rPr>
          <w:rFonts w:ascii="Century Gothic" w:hAnsi="Century Gothic" w:cstheme="minorBidi"/>
          <w:sz w:val="20"/>
        </w:rPr>
      </w:pPr>
      <w:r>
        <w:fldChar w:fldCharType="begin"/>
      </w:r>
      <w:r>
        <w:instrText xml:space="preserve"> LINK </w:instrText>
      </w:r>
      <w:r w:rsidR="00282ABD">
        <w:instrText xml:space="preserve">Excel.Sheet.12 "C:\\DatiAziendali\\u078245\\Brunori\\Emilia Romagna\\numero_imprese logistiche.xlsx" Foglio2!R1C1:R2C6 </w:instrText>
      </w:r>
      <w:r>
        <w:instrText xml:space="preserve">\a \f 4 \h </w:instrText>
      </w:r>
      <w:r w:rsidR="00172468">
        <w:instrText xml:space="preserve"> \* MERGEFORMAT </w:instrText>
      </w:r>
      <w:r>
        <w:fldChar w:fldCharType="separate"/>
      </w:r>
    </w:p>
    <w:tbl>
      <w:tblPr>
        <w:tblW w:w="5000" w:type="pct"/>
        <w:tblCellMar>
          <w:left w:w="70" w:type="dxa"/>
          <w:right w:w="70" w:type="dxa"/>
        </w:tblCellMar>
        <w:tblLook w:val="04A0" w:firstRow="1" w:lastRow="0" w:firstColumn="1" w:lastColumn="0" w:noHBand="0" w:noVBand="1"/>
      </w:tblPr>
      <w:tblGrid>
        <w:gridCol w:w="1612"/>
        <w:gridCol w:w="1612"/>
        <w:gridCol w:w="1424"/>
        <w:gridCol w:w="1775"/>
        <w:gridCol w:w="1375"/>
        <w:gridCol w:w="1963"/>
      </w:tblGrid>
      <w:tr w:rsidR="00282ABD" w:rsidRPr="00282ABD" w:rsidTr="00172468">
        <w:trPr>
          <w:divId w:val="784544005"/>
          <w:trHeight w:val="1215"/>
        </w:trPr>
        <w:tc>
          <w:tcPr>
            <w:tcW w:w="833" w:type="pct"/>
            <w:tcBorders>
              <w:top w:val="single" w:sz="8" w:space="0" w:color="auto"/>
              <w:left w:val="single" w:sz="8" w:space="0" w:color="auto"/>
              <w:bottom w:val="nil"/>
              <w:right w:val="nil"/>
            </w:tcBorders>
            <w:shd w:val="clear" w:color="auto" w:fill="auto"/>
            <w:vAlign w:val="center"/>
            <w:hideMark/>
          </w:tcPr>
          <w:p w:rsidR="00282ABD" w:rsidRPr="00282ABD" w:rsidRDefault="00282ABD" w:rsidP="00282ABD">
            <w:pPr>
              <w:rPr>
                <w:rFonts w:eastAsia="Times New Roman"/>
                <w:b/>
                <w:bCs/>
                <w:color w:val="000000"/>
                <w:lang w:eastAsia="it-IT"/>
              </w:rPr>
            </w:pPr>
            <w:r w:rsidRPr="00282ABD">
              <w:rPr>
                <w:rFonts w:eastAsia="Times New Roman"/>
                <w:b/>
                <w:bCs/>
                <w:color w:val="000000"/>
                <w:lang w:eastAsia="it-IT"/>
              </w:rPr>
              <w:t>TRASPORTO TERRESTRE DI MERCI (Stradale e ferroviario)</w:t>
            </w:r>
          </w:p>
        </w:tc>
        <w:tc>
          <w:tcPr>
            <w:tcW w:w="833" w:type="pct"/>
            <w:tcBorders>
              <w:top w:val="single" w:sz="8" w:space="0" w:color="auto"/>
              <w:left w:val="single" w:sz="8" w:space="0" w:color="auto"/>
              <w:bottom w:val="single" w:sz="8" w:space="0" w:color="auto"/>
              <w:right w:val="nil"/>
            </w:tcBorders>
            <w:shd w:val="clear" w:color="auto" w:fill="auto"/>
            <w:vAlign w:val="center"/>
            <w:hideMark/>
          </w:tcPr>
          <w:p w:rsidR="00282ABD" w:rsidRPr="00282ABD" w:rsidRDefault="00282ABD" w:rsidP="00282ABD">
            <w:pPr>
              <w:rPr>
                <w:rFonts w:eastAsia="Times New Roman"/>
                <w:b/>
                <w:bCs/>
                <w:color w:val="000000"/>
                <w:lang w:eastAsia="it-IT"/>
              </w:rPr>
            </w:pPr>
            <w:r w:rsidRPr="00282ABD">
              <w:rPr>
                <w:rFonts w:eastAsia="Times New Roman"/>
                <w:b/>
                <w:bCs/>
                <w:color w:val="000000"/>
                <w:lang w:eastAsia="it-IT"/>
              </w:rPr>
              <w:t>TRASPORTO MARITTIMO DI MERCI</w:t>
            </w:r>
          </w:p>
        </w:tc>
        <w:tc>
          <w:tcPr>
            <w:tcW w:w="736" w:type="pct"/>
            <w:tcBorders>
              <w:top w:val="single" w:sz="8" w:space="0" w:color="auto"/>
              <w:left w:val="single" w:sz="8" w:space="0" w:color="auto"/>
              <w:bottom w:val="single" w:sz="8" w:space="0" w:color="auto"/>
              <w:right w:val="nil"/>
            </w:tcBorders>
            <w:shd w:val="clear" w:color="auto" w:fill="auto"/>
            <w:vAlign w:val="center"/>
            <w:hideMark/>
          </w:tcPr>
          <w:p w:rsidR="00282ABD" w:rsidRPr="00282ABD" w:rsidRDefault="00282ABD" w:rsidP="00282ABD">
            <w:pPr>
              <w:rPr>
                <w:rFonts w:eastAsia="Times New Roman"/>
                <w:b/>
                <w:bCs/>
                <w:color w:val="000000"/>
                <w:lang w:eastAsia="it-IT"/>
              </w:rPr>
            </w:pPr>
            <w:r w:rsidRPr="00282ABD">
              <w:rPr>
                <w:rFonts w:eastAsia="Times New Roman"/>
                <w:b/>
                <w:bCs/>
                <w:color w:val="000000"/>
                <w:lang w:eastAsia="it-IT"/>
              </w:rPr>
              <w:t>TRASPORTO AEREO DI MERCI</w:t>
            </w:r>
          </w:p>
        </w:tc>
        <w:tc>
          <w:tcPr>
            <w:tcW w:w="875" w:type="pct"/>
            <w:tcBorders>
              <w:top w:val="single" w:sz="8" w:space="0" w:color="auto"/>
              <w:left w:val="single" w:sz="8" w:space="0" w:color="auto"/>
              <w:bottom w:val="single" w:sz="8" w:space="0" w:color="auto"/>
              <w:right w:val="nil"/>
            </w:tcBorders>
            <w:shd w:val="clear" w:color="auto" w:fill="auto"/>
            <w:vAlign w:val="center"/>
            <w:hideMark/>
          </w:tcPr>
          <w:p w:rsidR="00282ABD" w:rsidRPr="00282ABD" w:rsidRDefault="00282ABD" w:rsidP="00282ABD">
            <w:pPr>
              <w:rPr>
                <w:rFonts w:eastAsia="Times New Roman"/>
                <w:b/>
                <w:bCs/>
                <w:color w:val="000000"/>
                <w:lang w:eastAsia="it-IT"/>
              </w:rPr>
            </w:pPr>
            <w:r w:rsidRPr="00282ABD">
              <w:rPr>
                <w:rFonts w:eastAsia="Times New Roman"/>
                <w:b/>
                <w:bCs/>
                <w:color w:val="000000"/>
                <w:lang w:eastAsia="it-IT"/>
              </w:rPr>
              <w:t>MAGAZZINAGGIO E ATTIVITÀ DI SUPPORTO AI TRASPORTI</w:t>
            </w:r>
          </w:p>
        </w:tc>
        <w:tc>
          <w:tcPr>
            <w:tcW w:w="71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82ABD" w:rsidRPr="00282ABD" w:rsidRDefault="00282ABD" w:rsidP="00282ABD">
            <w:pPr>
              <w:rPr>
                <w:rFonts w:eastAsia="Times New Roman"/>
                <w:b/>
                <w:bCs/>
                <w:color w:val="000000"/>
                <w:lang w:eastAsia="it-IT"/>
              </w:rPr>
            </w:pPr>
            <w:r w:rsidRPr="00282ABD">
              <w:rPr>
                <w:rFonts w:eastAsia="Times New Roman"/>
                <w:b/>
                <w:bCs/>
                <w:color w:val="000000"/>
                <w:lang w:eastAsia="it-IT"/>
              </w:rPr>
              <w:t>SERVIZI POSTALI E ATTIVITÀ DI CORRIERE</w:t>
            </w:r>
          </w:p>
        </w:tc>
        <w:tc>
          <w:tcPr>
            <w:tcW w:w="1012" w:type="pct"/>
            <w:tcBorders>
              <w:top w:val="single" w:sz="8" w:space="0" w:color="auto"/>
              <w:left w:val="nil"/>
              <w:bottom w:val="single" w:sz="8" w:space="0" w:color="auto"/>
              <w:right w:val="single" w:sz="8" w:space="0" w:color="auto"/>
            </w:tcBorders>
            <w:shd w:val="clear" w:color="auto" w:fill="auto"/>
            <w:vAlign w:val="center"/>
            <w:hideMark/>
          </w:tcPr>
          <w:p w:rsidR="00282ABD" w:rsidRPr="00282ABD" w:rsidRDefault="00282ABD" w:rsidP="00282ABD">
            <w:pPr>
              <w:jc w:val="center"/>
              <w:rPr>
                <w:rFonts w:eastAsia="Times New Roman"/>
                <w:b/>
                <w:bCs/>
                <w:color w:val="0070C0"/>
                <w:sz w:val="28"/>
                <w:szCs w:val="28"/>
                <w:lang w:eastAsia="it-IT"/>
              </w:rPr>
            </w:pPr>
            <w:r w:rsidRPr="00282ABD">
              <w:rPr>
                <w:rFonts w:eastAsia="Times New Roman"/>
                <w:b/>
                <w:bCs/>
                <w:color w:val="0070C0"/>
                <w:sz w:val="28"/>
                <w:szCs w:val="28"/>
                <w:lang w:eastAsia="it-IT"/>
              </w:rPr>
              <w:t>TOTALE</w:t>
            </w:r>
          </w:p>
        </w:tc>
      </w:tr>
      <w:tr w:rsidR="00282ABD" w:rsidRPr="00282ABD" w:rsidTr="00172468">
        <w:trPr>
          <w:divId w:val="784544005"/>
          <w:trHeight w:val="795"/>
        </w:trPr>
        <w:tc>
          <w:tcPr>
            <w:tcW w:w="83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282ABD" w:rsidRPr="00282ABD" w:rsidRDefault="00282ABD" w:rsidP="00282ABD">
            <w:pPr>
              <w:jc w:val="center"/>
              <w:rPr>
                <w:rFonts w:eastAsia="Times New Roman"/>
                <w:b/>
                <w:bCs/>
                <w:color w:val="4472C4"/>
                <w:sz w:val="24"/>
                <w:szCs w:val="24"/>
                <w:lang w:eastAsia="it-IT"/>
              </w:rPr>
            </w:pPr>
            <w:r w:rsidRPr="00282ABD">
              <w:rPr>
                <w:rFonts w:eastAsia="Times New Roman"/>
                <w:b/>
                <w:bCs/>
                <w:color w:val="4472C4"/>
                <w:sz w:val="24"/>
                <w:szCs w:val="24"/>
                <w:lang w:eastAsia="it-IT"/>
              </w:rPr>
              <w:t>8.255</w:t>
            </w:r>
          </w:p>
        </w:tc>
        <w:tc>
          <w:tcPr>
            <w:tcW w:w="833" w:type="pct"/>
            <w:tcBorders>
              <w:top w:val="nil"/>
              <w:left w:val="nil"/>
              <w:bottom w:val="single" w:sz="8" w:space="0" w:color="auto"/>
              <w:right w:val="single" w:sz="8" w:space="0" w:color="auto"/>
            </w:tcBorders>
            <w:shd w:val="clear" w:color="000000" w:fill="FFFFFF"/>
            <w:vAlign w:val="center"/>
            <w:hideMark/>
          </w:tcPr>
          <w:p w:rsidR="00282ABD" w:rsidRPr="00282ABD" w:rsidRDefault="00282ABD" w:rsidP="00282ABD">
            <w:pPr>
              <w:jc w:val="center"/>
              <w:rPr>
                <w:rFonts w:eastAsia="Times New Roman"/>
                <w:b/>
                <w:bCs/>
                <w:color w:val="4472C4"/>
                <w:sz w:val="24"/>
                <w:szCs w:val="24"/>
                <w:lang w:eastAsia="it-IT"/>
              </w:rPr>
            </w:pPr>
            <w:r w:rsidRPr="00282ABD">
              <w:rPr>
                <w:rFonts w:eastAsia="Times New Roman"/>
                <w:b/>
                <w:bCs/>
                <w:color w:val="4472C4"/>
                <w:sz w:val="24"/>
                <w:szCs w:val="24"/>
                <w:lang w:eastAsia="it-IT"/>
              </w:rPr>
              <w:t>17</w:t>
            </w:r>
          </w:p>
        </w:tc>
        <w:tc>
          <w:tcPr>
            <w:tcW w:w="736" w:type="pct"/>
            <w:tcBorders>
              <w:top w:val="nil"/>
              <w:left w:val="nil"/>
              <w:bottom w:val="single" w:sz="8" w:space="0" w:color="auto"/>
              <w:right w:val="single" w:sz="8" w:space="0" w:color="auto"/>
            </w:tcBorders>
            <w:shd w:val="clear" w:color="000000" w:fill="FFFFFF"/>
            <w:vAlign w:val="center"/>
            <w:hideMark/>
          </w:tcPr>
          <w:p w:rsidR="00282ABD" w:rsidRPr="00282ABD" w:rsidRDefault="00282ABD" w:rsidP="00282ABD">
            <w:pPr>
              <w:jc w:val="center"/>
              <w:rPr>
                <w:rFonts w:eastAsia="Times New Roman"/>
                <w:b/>
                <w:bCs/>
                <w:color w:val="4472C4"/>
                <w:sz w:val="24"/>
                <w:szCs w:val="24"/>
                <w:lang w:eastAsia="it-IT"/>
              </w:rPr>
            </w:pPr>
            <w:r w:rsidRPr="00282ABD">
              <w:rPr>
                <w:rFonts w:eastAsia="Times New Roman"/>
                <w:b/>
                <w:bCs/>
                <w:color w:val="4472C4"/>
                <w:sz w:val="24"/>
                <w:szCs w:val="24"/>
                <w:lang w:eastAsia="it-IT"/>
              </w:rPr>
              <w:t>1</w:t>
            </w:r>
          </w:p>
        </w:tc>
        <w:tc>
          <w:tcPr>
            <w:tcW w:w="875" w:type="pct"/>
            <w:tcBorders>
              <w:top w:val="nil"/>
              <w:left w:val="nil"/>
              <w:bottom w:val="single" w:sz="8" w:space="0" w:color="auto"/>
              <w:right w:val="single" w:sz="8" w:space="0" w:color="auto"/>
            </w:tcBorders>
            <w:shd w:val="clear" w:color="000000" w:fill="FFFFFF"/>
            <w:vAlign w:val="center"/>
            <w:hideMark/>
          </w:tcPr>
          <w:p w:rsidR="00282ABD" w:rsidRPr="00282ABD" w:rsidRDefault="00282ABD" w:rsidP="00282ABD">
            <w:pPr>
              <w:jc w:val="center"/>
              <w:rPr>
                <w:rFonts w:eastAsia="Times New Roman"/>
                <w:b/>
                <w:bCs/>
                <w:color w:val="4472C4"/>
                <w:sz w:val="24"/>
                <w:szCs w:val="24"/>
                <w:lang w:eastAsia="it-IT"/>
              </w:rPr>
            </w:pPr>
            <w:r w:rsidRPr="00282ABD">
              <w:rPr>
                <w:rFonts w:eastAsia="Times New Roman"/>
                <w:b/>
                <w:bCs/>
                <w:color w:val="4472C4"/>
                <w:sz w:val="24"/>
                <w:szCs w:val="24"/>
                <w:lang w:eastAsia="it-IT"/>
              </w:rPr>
              <w:t>2.056</w:t>
            </w:r>
          </w:p>
        </w:tc>
        <w:tc>
          <w:tcPr>
            <w:tcW w:w="711" w:type="pct"/>
            <w:tcBorders>
              <w:top w:val="nil"/>
              <w:left w:val="nil"/>
              <w:bottom w:val="single" w:sz="8" w:space="0" w:color="auto"/>
              <w:right w:val="single" w:sz="8" w:space="0" w:color="auto"/>
            </w:tcBorders>
            <w:shd w:val="clear" w:color="000000" w:fill="FFFFFF"/>
            <w:vAlign w:val="center"/>
            <w:hideMark/>
          </w:tcPr>
          <w:p w:rsidR="00282ABD" w:rsidRPr="00282ABD" w:rsidRDefault="00282ABD" w:rsidP="00282ABD">
            <w:pPr>
              <w:jc w:val="center"/>
              <w:rPr>
                <w:rFonts w:eastAsia="Times New Roman"/>
                <w:b/>
                <w:bCs/>
                <w:color w:val="4472C4"/>
                <w:sz w:val="24"/>
                <w:szCs w:val="24"/>
                <w:lang w:eastAsia="it-IT"/>
              </w:rPr>
            </w:pPr>
            <w:r w:rsidRPr="00282ABD">
              <w:rPr>
                <w:rFonts w:eastAsia="Times New Roman"/>
                <w:b/>
                <w:bCs/>
                <w:color w:val="4472C4"/>
                <w:sz w:val="24"/>
                <w:szCs w:val="24"/>
                <w:lang w:eastAsia="it-IT"/>
              </w:rPr>
              <w:t>154</w:t>
            </w:r>
          </w:p>
        </w:tc>
        <w:tc>
          <w:tcPr>
            <w:tcW w:w="1012" w:type="pct"/>
            <w:tcBorders>
              <w:top w:val="nil"/>
              <w:left w:val="nil"/>
              <w:bottom w:val="single" w:sz="8" w:space="0" w:color="auto"/>
              <w:right w:val="single" w:sz="8" w:space="0" w:color="auto"/>
            </w:tcBorders>
            <w:shd w:val="clear" w:color="000000" w:fill="FFFFFF"/>
            <w:vAlign w:val="center"/>
            <w:hideMark/>
          </w:tcPr>
          <w:p w:rsidR="00282ABD" w:rsidRPr="00282ABD" w:rsidRDefault="00282ABD" w:rsidP="00282ABD">
            <w:pPr>
              <w:jc w:val="center"/>
              <w:rPr>
                <w:rFonts w:eastAsia="Times New Roman"/>
                <w:b/>
                <w:bCs/>
                <w:color w:val="4472C4"/>
                <w:sz w:val="24"/>
                <w:szCs w:val="24"/>
                <w:lang w:eastAsia="it-IT"/>
              </w:rPr>
            </w:pPr>
            <w:r w:rsidRPr="00282ABD">
              <w:rPr>
                <w:rFonts w:eastAsia="Times New Roman"/>
                <w:b/>
                <w:bCs/>
                <w:color w:val="4472C4"/>
                <w:sz w:val="24"/>
                <w:szCs w:val="24"/>
                <w:lang w:eastAsia="it-IT"/>
              </w:rPr>
              <w:t>10.483</w:t>
            </w:r>
          </w:p>
        </w:tc>
      </w:tr>
    </w:tbl>
    <w:p w:rsidR="009A692C" w:rsidRDefault="00860007" w:rsidP="00104A1C">
      <w:pPr>
        <w:rPr>
          <w:rFonts w:ascii="Century Gothic" w:hAnsi="Century Gothic" w:cstheme="minorBidi"/>
          <w:sz w:val="20"/>
        </w:rPr>
      </w:pPr>
      <w:r>
        <w:fldChar w:fldCharType="end"/>
      </w:r>
      <w:r w:rsidR="00104A1C">
        <w:fldChar w:fldCharType="begin"/>
      </w:r>
      <w:r w:rsidR="00104A1C">
        <w:instrText xml:space="preserve"> LINK </w:instrText>
      </w:r>
      <w:r w:rsidR="009A692C">
        <w:instrText xml:space="preserve">Excel.Sheet.12 "C:\\DatiAziendali\\u078245\\Brunori\\numero imprese logistiche.xlsx" Foglio2!R1C1:R2C6 </w:instrText>
      </w:r>
      <w:r w:rsidR="00104A1C">
        <w:instrText xml:space="preserve">\a \f 4 \h </w:instrText>
      </w:r>
      <w:r w:rsidR="00104A1C">
        <w:fldChar w:fldCharType="separate"/>
      </w:r>
    </w:p>
    <w:p w:rsidR="00104A1C" w:rsidRPr="00600799" w:rsidRDefault="00104A1C" w:rsidP="00104A1C">
      <w:pPr>
        <w:rPr>
          <w:sz w:val="20"/>
          <w:szCs w:val="20"/>
        </w:rPr>
      </w:pPr>
      <w:r>
        <w:rPr>
          <w:sz w:val="24"/>
          <w:szCs w:val="24"/>
        </w:rPr>
        <w:fldChar w:fldCharType="end"/>
      </w:r>
      <w:proofErr w:type="spellStart"/>
      <w:r w:rsidRPr="00600799">
        <w:rPr>
          <w:sz w:val="20"/>
          <w:szCs w:val="20"/>
        </w:rPr>
        <w:t>Tab</w:t>
      </w:r>
      <w:proofErr w:type="spellEnd"/>
      <w:r w:rsidRPr="00600799">
        <w:rPr>
          <w:sz w:val="20"/>
          <w:szCs w:val="20"/>
        </w:rPr>
        <w:t xml:space="preserve">. </w:t>
      </w:r>
      <w:r>
        <w:rPr>
          <w:sz w:val="20"/>
          <w:szCs w:val="20"/>
        </w:rPr>
        <w:t>3</w:t>
      </w:r>
      <w:r w:rsidRPr="00600799">
        <w:rPr>
          <w:sz w:val="20"/>
          <w:szCs w:val="20"/>
        </w:rPr>
        <w:t xml:space="preserve"> - Fonte: SRM su </w:t>
      </w:r>
      <w:r>
        <w:rPr>
          <w:sz w:val="20"/>
          <w:szCs w:val="20"/>
        </w:rPr>
        <w:t>Camera di Commercio delle Marche</w:t>
      </w:r>
    </w:p>
    <w:p w:rsidR="00104A1C" w:rsidRDefault="00104A1C">
      <w:pPr>
        <w:rPr>
          <w:sz w:val="24"/>
          <w:szCs w:val="24"/>
        </w:rPr>
      </w:pPr>
    </w:p>
    <w:p w:rsidR="00104A1C" w:rsidRPr="006C1ED9" w:rsidRDefault="00104A1C">
      <w:pPr>
        <w:rPr>
          <w:sz w:val="24"/>
          <w:szCs w:val="24"/>
        </w:rPr>
      </w:pPr>
    </w:p>
    <w:p w:rsidR="00D93E7B" w:rsidRPr="00600799" w:rsidRDefault="00D93E7B">
      <w:pPr>
        <w:rPr>
          <w:b/>
          <w:sz w:val="28"/>
          <w:szCs w:val="28"/>
        </w:rPr>
      </w:pPr>
      <w:r w:rsidRPr="00600799">
        <w:rPr>
          <w:b/>
          <w:sz w:val="28"/>
          <w:szCs w:val="28"/>
        </w:rPr>
        <w:t>Outlook sul porto di Ravenna</w:t>
      </w:r>
    </w:p>
    <w:p w:rsidR="00C81C77" w:rsidRDefault="00C81C77">
      <w:pPr>
        <w:rPr>
          <w:sz w:val="24"/>
          <w:szCs w:val="24"/>
        </w:rPr>
      </w:pPr>
    </w:p>
    <w:p w:rsidR="00924FF1" w:rsidRDefault="00C81C77" w:rsidP="00600799">
      <w:pPr>
        <w:jc w:val="both"/>
        <w:rPr>
          <w:sz w:val="24"/>
          <w:szCs w:val="24"/>
        </w:rPr>
      </w:pPr>
      <w:r>
        <w:rPr>
          <w:sz w:val="24"/>
          <w:szCs w:val="24"/>
        </w:rPr>
        <w:t xml:space="preserve">Il porto di Ravenna </w:t>
      </w:r>
      <w:r w:rsidR="00216E11">
        <w:rPr>
          <w:sz w:val="24"/>
          <w:szCs w:val="24"/>
        </w:rPr>
        <w:t xml:space="preserve">ha una vocazione </w:t>
      </w:r>
      <w:proofErr w:type="spellStart"/>
      <w:r w:rsidR="00216E11">
        <w:rPr>
          <w:sz w:val="24"/>
          <w:szCs w:val="24"/>
        </w:rPr>
        <w:t>rinfusiera</w:t>
      </w:r>
      <w:proofErr w:type="spellEnd"/>
      <w:r w:rsidR="00216E11">
        <w:rPr>
          <w:sz w:val="24"/>
          <w:szCs w:val="24"/>
        </w:rPr>
        <w:t xml:space="preserve"> ma comunque ha natura </w:t>
      </w:r>
      <w:r w:rsidR="00216E11" w:rsidRPr="00A71139">
        <w:rPr>
          <w:i/>
          <w:sz w:val="24"/>
          <w:szCs w:val="24"/>
        </w:rPr>
        <w:t>multipurpose</w:t>
      </w:r>
      <w:r w:rsidR="00216E11">
        <w:rPr>
          <w:sz w:val="24"/>
          <w:szCs w:val="24"/>
        </w:rPr>
        <w:t>, è in grado cioè di gestire tutte le tipologie di merci</w:t>
      </w:r>
      <w:r w:rsidR="00D02F82">
        <w:rPr>
          <w:sz w:val="24"/>
          <w:szCs w:val="24"/>
        </w:rPr>
        <w:t xml:space="preserve"> e movimenta anche i passeggeri</w:t>
      </w:r>
      <w:r w:rsidR="00216E11">
        <w:rPr>
          <w:sz w:val="24"/>
          <w:szCs w:val="24"/>
        </w:rPr>
        <w:t xml:space="preserve">. La principale categoria </w:t>
      </w:r>
      <w:r w:rsidR="00D02F82">
        <w:rPr>
          <w:sz w:val="24"/>
          <w:szCs w:val="24"/>
        </w:rPr>
        <w:t>di merce gestita</w:t>
      </w:r>
      <w:r w:rsidR="00216E11">
        <w:rPr>
          <w:sz w:val="24"/>
          <w:szCs w:val="24"/>
        </w:rPr>
        <w:t xml:space="preserve"> dal porto è quella delle </w:t>
      </w:r>
      <w:r w:rsidR="00DC2ABC">
        <w:rPr>
          <w:sz w:val="24"/>
          <w:szCs w:val="24"/>
        </w:rPr>
        <w:t>rinfuse</w:t>
      </w:r>
      <w:r w:rsidR="00216E11">
        <w:rPr>
          <w:sz w:val="24"/>
          <w:szCs w:val="24"/>
        </w:rPr>
        <w:t xml:space="preserve"> solide (minerali/cementi/calci e derrate alimentari in prevalenza) che nel 2020 con 9,4 milioni di tonnellate, rappresenta il 42% del totale</w:t>
      </w:r>
      <w:r w:rsidR="00CC11B2">
        <w:rPr>
          <w:sz w:val="24"/>
          <w:szCs w:val="24"/>
        </w:rPr>
        <w:t xml:space="preserve">; </w:t>
      </w:r>
      <w:r w:rsidR="00924FF1">
        <w:rPr>
          <w:sz w:val="24"/>
          <w:szCs w:val="24"/>
        </w:rPr>
        <w:t xml:space="preserve">di queste 8,5 </w:t>
      </w:r>
      <w:r w:rsidR="00924FF1">
        <w:rPr>
          <w:sz w:val="24"/>
          <w:szCs w:val="24"/>
        </w:rPr>
        <w:lastRenderedPageBreak/>
        <w:t>milioni sono in import e quasi 1 milione in export. P</w:t>
      </w:r>
      <w:r w:rsidR="00CC11B2">
        <w:rPr>
          <w:sz w:val="24"/>
          <w:szCs w:val="24"/>
        </w:rPr>
        <w:t xml:space="preserve">er questa tipologia di merce </w:t>
      </w:r>
      <w:bookmarkStart w:id="2" w:name="_Hlk77241874"/>
      <w:bookmarkStart w:id="3" w:name="_GoBack"/>
      <w:r w:rsidR="00CC11B2">
        <w:rPr>
          <w:sz w:val="24"/>
          <w:szCs w:val="24"/>
        </w:rPr>
        <w:t>Ravenna si conferma lo scalo leader in Italia.</w:t>
      </w:r>
    </w:p>
    <w:bookmarkEnd w:id="2"/>
    <w:bookmarkEnd w:id="3"/>
    <w:p w:rsidR="007062E8" w:rsidRDefault="007062E8" w:rsidP="00600799">
      <w:pPr>
        <w:jc w:val="both"/>
        <w:rPr>
          <w:sz w:val="24"/>
          <w:szCs w:val="24"/>
        </w:rPr>
      </w:pPr>
    </w:p>
    <w:p w:rsidR="00216E11" w:rsidRDefault="00216E11" w:rsidP="00600799">
      <w:pPr>
        <w:jc w:val="both"/>
        <w:rPr>
          <w:sz w:val="24"/>
          <w:szCs w:val="24"/>
        </w:rPr>
      </w:pPr>
      <w:r>
        <w:rPr>
          <w:sz w:val="24"/>
          <w:szCs w:val="24"/>
        </w:rPr>
        <w:t xml:space="preserve">Seguono le altre merci </w:t>
      </w:r>
      <w:r w:rsidR="00924FF1">
        <w:rPr>
          <w:sz w:val="24"/>
          <w:szCs w:val="24"/>
        </w:rPr>
        <w:t>(</w:t>
      </w:r>
      <w:r w:rsidR="00924FF1" w:rsidRPr="00924FF1">
        <w:rPr>
          <w:sz w:val="24"/>
          <w:szCs w:val="24"/>
        </w:rPr>
        <w:t>in particolare coils e legname),</w:t>
      </w:r>
      <w:r w:rsidR="00600799">
        <w:rPr>
          <w:sz w:val="24"/>
          <w:szCs w:val="24"/>
        </w:rPr>
        <w:t xml:space="preserve"> per la movimentazione delle quali Ravenna è il primo scalo italiano, </w:t>
      </w:r>
      <w:r w:rsidR="001F2C8B">
        <w:rPr>
          <w:sz w:val="24"/>
          <w:szCs w:val="24"/>
        </w:rPr>
        <w:t xml:space="preserve">che con 5,1 milioni di tonnellate hanno una quota del 23%; le rinfuse liquide pari a 4,2 milioni, il 19%; quindi i container con 2,1 milioni pari al 9% e infine i RO-RO con 2 milioni di </w:t>
      </w:r>
      <w:r w:rsidR="001F2C8B" w:rsidRPr="00600799">
        <w:rPr>
          <w:sz w:val="24"/>
          <w:szCs w:val="24"/>
        </w:rPr>
        <w:t>tonnellate coprono la quota del 7%</w:t>
      </w:r>
      <w:r w:rsidR="00EC56EF" w:rsidRPr="00600799">
        <w:rPr>
          <w:sz w:val="24"/>
          <w:szCs w:val="24"/>
        </w:rPr>
        <w:t>.</w:t>
      </w:r>
    </w:p>
    <w:p w:rsidR="007062E8" w:rsidRPr="00600799" w:rsidRDefault="007062E8" w:rsidP="00600799">
      <w:pPr>
        <w:jc w:val="both"/>
        <w:rPr>
          <w:sz w:val="24"/>
          <w:szCs w:val="24"/>
        </w:rPr>
      </w:pPr>
    </w:p>
    <w:p w:rsidR="00C81C77" w:rsidRPr="00600799" w:rsidRDefault="001F2C8B" w:rsidP="00600799">
      <w:pPr>
        <w:jc w:val="both"/>
        <w:rPr>
          <w:sz w:val="24"/>
          <w:szCs w:val="24"/>
        </w:rPr>
      </w:pPr>
      <w:r w:rsidRPr="00600799">
        <w:rPr>
          <w:sz w:val="24"/>
          <w:szCs w:val="24"/>
        </w:rPr>
        <w:t>I dati appena analizzati si riferiscono al 2020, che comunque ha risentito del</w:t>
      </w:r>
      <w:r w:rsidR="00216E11" w:rsidRPr="00600799">
        <w:rPr>
          <w:sz w:val="24"/>
          <w:szCs w:val="24"/>
        </w:rPr>
        <w:t xml:space="preserve"> forte impatto della pandemia </w:t>
      </w:r>
      <w:r w:rsidR="00EC56EF" w:rsidRPr="00600799">
        <w:rPr>
          <w:sz w:val="24"/>
          <w:szCs w:val="24"/>
        </w:rPr>
        <w:t xml:space="preserve">che </w:t>
      </w:r>
      <w:r w:rsidR="00216E11" w:rsidRPr="00600799">
        <w:rPr>
          <w:sz w:val="24"/>
          <w:szCs w:val="24"/>
        </w:rPr>
        <w:t xml:space="preserve">ha fatto registrare un considerevole rallentamento nell’import/export con relative conseguenze </w:t>
      </w:r>
      <w:r w:rsidR="00EC56EF" w:rsidRPr="00600799">
        <w:rPr>
          <w:sz w:val="24"/>
          <w:szCs w:val="24"/>
        </w:rPr>
        <w:t>sull’attività del porto</w:t>
      </w:r>
      <w:r w:rsidR="00216E11" w:rsidRPr="00600799">
        <w:rPr>
          <w:sz w:val="24"/>
          <w:szCs w:val="24"/>
        </w:rPr>
        <w:t xml:space="preserve">. </w:t>
      </w:r>
      <w:r w:rsidRPr="00600799">
        <w:rPr>
          <w:sz w:val="24"/>
          <w:szCs w:val="24"/>
        </w:rPr>
        <w:t>Complessivamente nel</w:t>
      </w:r>
      <w:r w:rsidR="00C81C77" w:rsidRPr="00600799">
        <w:rPr>
          <w:sz w:val="24"/>
          <w:szCs w:val="24"/>
        </w:rPr>
        <w:t xml:space="preserve"> 2020, la movimentazione </w:t>
      </w:r>
      <w:r w:rsidRPr="00600799">
        <w:rPr>
          <w:sz w:val="24"/>
          <w:szCs w:val="24"/>
        </w:rPr>
        <w:t xml:space="preserve">del porto di Ravenna </w:t>
      </w:r>
      <w:r w:rsidR="00C81C77" w:rsidRPr="00600799">
        <w:rPr>
          <w:sz w:val="24"/>
          <w:szCs w:val="24"/>
        </w:rPr>
        <w:t xml:space="preserve">è stata pari a 22.407.481 </w:t>
      </w:r>
      <w:r w:rsidR="00EC56EF" w:rsidRPr="00600799">
        <w:rPr>
          <w:sz w:val="24"/>
          <w:szCs w:val="24"/>
        </w:rPr>
        <w:t xml:space="preserve">tonnellate </w:t>
      </w:r>
      <w:r w:rsidR="00C81C77" w:rsidRPr="00600799">
        <w:rPr>
          <w:sz w:val="24"/>
          <w:szCs w:val="24"/>
        </w:rPr>
        <w:t>di merce, in calo del 14,7% (3.848.767 tonnellate in meno) rispetto allo stesso periodo dello scorso anno.</w:t>
      </w:r>
    </w:p>
    <w:p w:rsidR="00C81C77" w:rsidRDefault="00C81C77" w:rsidP="00600799">
      <w:pPr>
        <w:jc w:val="both"/>
        <w:rPr>
          <w:sz w:val="24"/>
          <w:szCs w:val="24"/>
        </w:rPr>
      </w:pPr>
    </w:p>
    <w:p w:rsidR="00C81C77" w:rsidRDefault="00392152">
      <w:pPr>
        <w:rPr>
          <w:sz w:val="24"/>
          <w:szCs w:val="24"/>
        </w:rPr>
      </w:pPr>
      <w:r>
        <w:rPr>
          <w:noProof/>
          <w:sz w:val="24"/>
          <w:szCs w:val="24"/>
        </w:rPr>
        <w:drawing>
          <wp:inline distT="0" distB="0" distL="0" distR="0" wp14:anchorId="69703155">
            <wp:extent cx="5419725" cy="3578860"/>
            <wp:effectExtent l="0" t="0" r="9525" b="254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19725" cy="3578860"/>
                    </a:xfrm>
                    <a:prstGeom prst="rect">
                      <a:avLst/>
                    </a:prstGeom>
                    <a:noFill/>
                  </pic:spPr>
                </pic:pic>
              </a:graphicData>
            </a:graphic>
          </wp:inline>
        </w:drawing>
      </w:r>
    </w:p>
    <w:p w:rsidR="00C81C77" w:rsidRPr="00974687" w:rsidRDefault="00600799">
      <w:pPr>
        <w:rPr>
          <w:sz w:val="20"/>
          <w:szCs w:val="20"/>
        </w:rPr>
      </w:pPr>
      <w:r>
        <w:rPr>
          <w:sz w:val="20"/>
          <w:szCs w:val="20"/>
        </w:rPr>
        <w:t xml:space="preserve">Figura </w:t>
      </w:r>
      <w:r w:rsidR="007E69C7">
        <w:rPr>
          <w:sz w:val="20"/>
          <w:szCs w:val="20"/>
        </w:rPr>
        <w:t>2</w:t>
      </w:r>
      <w:r>
        <w:rPr>
          <w:sz w:val="20"/>
          <w:szCs w:val="20"/>
        </w:rPr>
        <w:t xml:space="preserve"> - </w:t>
      </w:r>
      <w:r w:rsidR="00974687" w:rsidRPr="00974687">
        <w:rPr>
          <w:sz w:val="20"/>
          <w:szCs w:val="20"/>
        </w:rPr>
        <w:t>Fonte: SRM su ADSP Mare Adriatico Centro- Settentrionale</w:t>
      </w:r>
    </w:p>
    <w:p w:rsidR="00974687" w:rsidRPr="00DA1A6B" w:rsidRDefault="00974687">
      <w:pPr>
        <w:rPr>
          <w:sz w:val="24"/>
          <w:szCs w:val="24"/>
        </w:rPr>
      </w:pPr>
    </w:p>
    <w:p w:rsidR="00392152" w:rsidRDefault="00EC56EF" w:rsidP="00392152">
      <w:pPr>
        <w:jc w:val="both"/>
        <w:rPr>
          <w:sz w:val="24"/>
          <w:szCs w:val="24"/>
        </w:rPr>
      </w:pPr>
      <w:bookmarkStart w:id="4" w:name="_Hlk77241496"/>
      <w:r w:rsidRPr="00DA1A6B">
        <w:rPr>
          <w:sz w:val="24"/>
          <w:szCs w:val="24"/>
        </w:rPr>
        <w:t>Il periodo gennaio‐</w:t>
      </w:r>
      <w:r w:rsidR="00392152">
        <w:rPr>
          <w:sz w:val="24"/>
          <w:szCs w:val="24"/>
        </w:rPr>
        <w:t>maggio</w:t>
      </w:r>
      <w:r w:rsidRPr="00DA1A6B">
        <w:rPr>
          <w:sz w:val="24"/>
          <w:szCs w:val="24"/>
        </w:rPr>
        <w:t xml:space="preserve"> ha registrato nel 2021 una movimentazione complessiva pari a </w:t>
      </w:r>
      <w:r w:rsidR="00392152" w:rsidRPr="00392152">
        <w:rPr>
          <w:sz w:val="24"/>
          <w:szCs w:val="24"/>
        </w:rPr>
        <w:t>10.594.499 tonnellate, con un rimbalzo del 18,7% (oltre 1,6 milioni di tonnellate in più) rispetto allo stesso periodo del 2020, ed il progressivo avvicinamento ai volumi del 2019 ante pandemia (‐ 3,1%)</w:t>
      </w:r>
      <w:r w:rsidR="00392152">
        <w:rPr>
          <w:sz w:val="24"/>
          <w:szCs w:val="24"/>
        </w:rPr>
        <w:t>.</w:t>
      </w:r>
    </w:p>
    <w:bookmarkEnd w:id="4"/>
    <w:p w:rsidR="00D02F82" w:rsidRPr="00DA1A6B" w:rsidRDefault="00D02F82" w:rsidP="00392152">
      <w:pPr>
        <w:jc w:val="both"/>
        <w:rPr>
          <w:sz w:val="24"/>
          <w:szCs w:val="24"/>
        </w:rPr>
      </w:pPr>
      <w:r w:rsidRPr="00DA1A6B">
        <w:rPr>
          <w:sz w:val="24"/>
          <w:szCs w:val="24"/>
        </w:rPr>
        <w:t xml:space="preserve">Il porto di Ravenna </w:t>
      </w:r>
      <w:r w:rsidR="00872EAE" w:rsidRPr="00DA1A6B">
        <w:rPr>
          <w:sz w:val="24"/>
          <w:szCs w:val="24"/>
        </w:rPr>
        <w:t>è anche uno scalo crocieristico e di transito di passeggeri per i traghetti.</w:t>
      </w:r>
      <w:r w:rsidR="00300ADA">
        <w:rPr>
          <w:sz w:val="24"/>
          <w:szCs w:val="24"/>
        </w:rPr>
        <w:t xml:space="preserve"> </w:t>
      </w:r>
      <w:r w:rsidR="00BC2AB3">
        <w:rPr>
          <w:sz w:val="24"/>
          <w:szCs w:val="24"/>
        </w:rPr>
        <w:t>Per il problema dei bassi fondali però dopo i brillanti risultati de</w:t>
      </w:r>
      <w:r w:rsidR="00300ADA" w:rsidRPr="00300ADA">
        <w:rPr>
          <w:sz w:val="24"/>
          <w:szCs w:val="24"/>
        </w:rPr>
        <w:t xml:space="preserve">l 2016 e </w:t>
      </w:r>
      <w:r w:rsidR="00BC2AB3">
        <w:rPr>
          <w:sz w:val="24"/>
          <w:szCs w:val="24"/>
        </w:rPr>
        <w:t>de</w:t>
      </w:r>
      <w:r w:rsidR="00300ADA" w:rsidRPr="00300ADA">
        <w:rPr>
          <w:sz w:val="24"/>
          <w:szCs w:val="24"/>
        </w:rPr>
        <w:t>l 2017</w:t>
      </w:r>
      <w:r w:rsidR="00BC2AB3">
        <w:rPr>
          <w:sz w:val="24"/>
          <w:szCs w:val="24"/>
        </w:rPr>
        <w:t>,</w:t>
      </w:r>
      <w:r w:rsidR="00300ADA">
        <w:rPr>
          <w:sz w:val="24"/>
          <w:szCs w:val="24"/>
        </w:rPr>
        <w:t xml:space="preserve"> dal 2018 si assiste ad un calo.</w:t>
      </w:r>
    </w:p>
    <w:p w:rsidR="00872EAE" w:rsidRDefault="00872EAE" w:rsidP="00600799">
      <w:pPr>
        <w:jc w:val="both"/>
        <w:rPr>
          <w:sz w:val="24"/>
          <w:szCs w:val="24"/>
        </w:rPr>
      </w:pPr>
      <w:r>
        <w:rPr>
          <w:sz w:val="24"/>
          <w:szCs w:val="24"/>
        </w:rPr>
        <w:t xml:space="preserve">Il comparto crocieristico è quello che ha subito i maggiori danni per effetto della pandemia. Nel 2020 e nei primi </w:t>
      </w:r>
      <w:r w:rsidR="00B93F0C">
        <w:rPr>
          <w:sz w:val="24"/>
          <w:szCs w:val="24"/>
        </w:rPr>
        <w:t>5</w:t>
      </w:r>
      <w:r>
        <w:rPr>
          <w:sz w:val="24"/>
          <w:szCs w:val="24"/>
        </w:rPr>
        <w:t xml:space="preserve"> mesi del 2021 </w:t>
      </w:r>
      <w:r w:rsidR="00A71139">
        <w:rPr>
          <w:sz w:val="24"/>
          <w:szCs w:val="24"/>
        </w:rPr>
        <w:t>non vi sono stati crocieristi</w:t>
      </w:r>
      <w:r>
        <w:rPr>
          <w:sz w:val="24"/>
          <w:szCs w:val="24"/>
        </w:rPr>
        <w:t>.</w:t>
      </w:r>
    </w:p>
    <w:p w:rsidR="00872EAE" w:rsidRDefault="00872EAE">
      <w:pPr>
        <w:rPr>
          <w:sz w:val="24"/>
          <w:szCs w:val="24"/>
        </w:rPr>
      </w:pPr>
    </w:p>
    <w:p w:rsidR="00872EAE" w:rsidRDefault="00B93F0C">
      <w:pPr>
        <w:rPr>
          <w:sz w:val="24"/>
          <w:szCs w:val="24"/>
        </w:rPr>
      </w:pPr>
      <w:r>
        <w:rPr>
          <w:noProof/>
          <w:sz w:val="24"/>
          <w:szCs w:val="24"/>
        </w:rPr>
        <w:lastRenderedPageBreak/>
        <w:drawing>
          <wp:inline distT="0" distB="0" distL="0" distR="0" wp14:anchorId="68656067">
            <wp:extent cx="5419725" cy="3578860"/>
            <wp:effectExtent l="0" t="0" r="9525" b="254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19725" cy="3578860"/>
                    </a:xfrm>
                    <a:prstGeom prst="rect">
                      <a:avLst/>
                    </a:prstGeom>
                    <a:noFill/>
                  </pic:spPr>
                </pic:pic>
              </a:graphicData>
            </a:graphic>
          </wp:inline>
        </w:drawing>
      </w:r>
    </w:p>
    <w:p w:rsidR="00974687" w:rsidRPr="00974687" w:rsidRDefault="00600799" w:rsidP="00974687">
      <w:pPr>
        <w:rPr>
          <w:sz w:val="20"/>
          <w:szCs w:val="20"/>
        </w:rPr>
      </w:pPr>
      <w:r>
        <w:rPr>
          <w:sz w:val="20"/>
          <w:szCs w:val="20"/>
        </w:rPr>
        <w:t xml:space="preserve">Figura </w:t>
      </w:r>
      <w:r w:rsidR="007E69C7">
        <w:rPr>
          <w:sz w:val="20"/>
          <w:szCs w:val="20"/>
        </w:rPr>
        <w:t>3</w:t>
      </w:r>
      <w:r>
        <w:rPr>
          <w:sz w:val="20"/>
          <w:szCs w:val="20"/>
        </w:rPr>
        <w:t xml:space="preserve"> - </w:t>
      </w:r>
      <w:r w:rsidR="00974687" w:rsidRPr="00974687">
        <w:rPr>
          <w:sz w:val="20"/>
          <w:szCs w:val="20"/>
        </w:rPr>
        <w:t>Fonte: SRM su ADSP Mare Adriatico Centro- Settentrionale</w:t>
      </w:r>
    </w:p>
    <w:p w:rsidR="00974687" w:rsidRDefault="00974687">
      <w:pPr>
        <w:rPr>
          <w:sz w:val="24"/>
          <w:szCs w:val="24"/>
        </w:rPr>
      </w:pPr>
    </w:p>
    <w:p w:rsidR="00A71139" w:rsidRPr="00A71139" w:rsidRDefault="00A71139">
      <w:pPr>
        <w:rPr>
          <w:b/>
          <w:sz w:val="24"/>
          <w:szCs w:val="24"/>
        </w:rPr>
      </w:pPr>
      <w:r w:rsidRPr="00A71139">
        <w:rPr>
          <w:b/>
          <w:sz w:val="24"/>
          <w:szCs w:val="24"/>
        </w:rPr>
        <w:t>Considerazioni sul futuro della portualità e della Logistica in Emilia-Romagna</w:t>
      </w:r>
    </w:p>
    <w:p w:rsidR="00A71139" w:rsidRDefault="00A71139">
      <w:pPr>
        <w:rPr>
          <w:sz w:val="24"/>
          <w:szCs w:val="24"/>
        </w:rPr>
      </w:pPr>
    </w:p>
    <w:p w:rsidR="00A71139" w:rsidRDefault="00A71139">
      <w:pPr>
        <w:rPr>
          <w:sz w:val="24"/>
          <w:szCs w:val="24"/>
        </w:rPr>
      </w:pPr>
      <w:r>
        <w:rPr>
          <w:sz w:val="24"/>
          <w:szCs w:val="24"/>
        </w:rPr>
        <w:t>I dati hanno mostrato</w:t>
      </w:r>
      <w:r w:rsidR="008E2BD3">
        <w:rPr>
          <w:sz w:val="24"/>
          <w:szCs w:val="24"/>
        </w:rPr>
        <w:t>,</w:t>
      </w:r>
      <w:r>
        <w:rPr>
          <w:sz w:val="24"/>
          <w:szCs w:val="24"/>
        </w:rPr>
        <w:t xml:space="preserve"> seppur in sintesi</w:t>
      </w:r>
      <w:r w:rsidR="008E2BD3">
        <w:rPr>
          <w:sz w:val="24"/>
          <w:szCs w:val="24"/>
        </w:rPr>
        <w:t>,</w:t>
      </w:r>
      <w:r>
        <w:rPr>
          <w:sz w:val="24"/>
          <w:szCs w:val="24"/>
        </w:rPr>
        <w:t xml:space="preserve"> la valenza del settore marittimo in una regione protagonista dell’economia italiana: </w:t>
      </w:r>
    </w:p>
    <w:p w:rsidR="00A71139" w:rsidRDefault="00A71139" w:rsidP="00A71139">
      <w:pPr>
        <w:pStyle w:val="Paragrafoelenco"/>
        <w:numPr>
          <w:ilvl w:val="0"/>
          <w:numId w:val="1"/>
        </w:numPr>
        <w:rPr>
          <w:sz w:val="24"/>
          <w:szCs w:val="24"/>
        </w:rPr>
      </w:pPr>
      <w:r>
        <w:rPr>
          <w:sz w:val="24"/>
          <w:szCs w:val="24"/>
        </w:rPr>
        <w:t>Il 37% del totale import export manifatturiero pari a 26 miliardi di euro viaggia via mare;</w:t>
      </w:r>
    </w:p>
    <w:p w:rsidR="008E2BD3" w:rsidRDefault="008E2BD3" w:rsidP="00A71139">
      <w:pPr>
        <w:pStyle w:val="Paragrafoelenco"/>
        <w:numPr>
          <w:ilvl w:val="0"/>
          <w:numId w:val="1"/>
        </w:numPr>
        <w:rPr>
          <w:sz w:val="24"/>
          <w:szCs w:val="24"/>
        </w:rPr>
      </w:pPr>
      <w:r>
        <w:rPr>
          <w:sz w:val="24"/>
          <w:szCs w:val="24"/>
        </w:rPr>
        <w:t xml:space="preserve">Un porto multipurpose che ha ben retto l’urto della pandemia con un progetto ambizioso; </w:t>
      </w:r>
    </w:p>
    <w:p w:rsidR="008E2BD3" w:rsidRDefault="008E2BD3" w:rsidP="00A71139">
      <w:pPr>
        <w:pStyle w:val="Paragrafoelenco"/>
        <w:numPr>
          <w:ilvl w:val="0"/>
          <w:numId w:val="1"/>
        </w:numPr>
        <w:rPr>
          <w:sz w:val="24"/>
          <w:szCs w:val="24"/>
        </w:rPr>
      </w:pPr>
      <w:r>
        <w:rPr>
          <w:sz w:val="24"/>
          <w:szCs w:val="24"/>
        </w:rPr>
        <w:t>Un sistema logistico caratterizzato dalla presenza di numerose imprese (oltre 10.000) di tutte le fasi della filiera.</w:t>
      </w:r>
    </w:p>
    <w:p w:rsidR="008E2BD3" w:rsidRDefault="008E2BD3" w:rsidP="008E2BD3">
      <w:pPr>
        <w:rPr>
          <w:sz w:val="24"/>
          <w:szCs w:val="24"/>
        </w:rPr>
      </w:pPr>
    </w:p>
    <w:p w:rsidR="008E2BD3" w:rsidRDefault="008E2BD3" w:rsidP="008E2BD3">
      <w:pPr>
        <w:jc w:val="both"/>
        <w:rPr>
          <w:sz w:val="24"/>
          <w:szCs w:val="24"/>
        </w:rPr>
      </w:pPr>
      <w:r>
        <w:rPr>
          <w:sz w:val="24"/>
          <w:szCs w:val="24"/>
        </w:rPr>
        <w:t xml:space="preserve">L’asse adriatico è stato e rimarrà una rotta strategica per il futuro del Mediterraneo e del nostro Paese perché rappresenta il canale di ingresso per il raggiungimento delle aree produttive del centro e del nord ed anche sui grandi assi di trasporto del centro Europa. </w:t>
      </w:r>
    </w:p>
    <w:p w:rsidR="008E2BD3" w:rsidRDefault="008E2BD3" w:rsidP="008E2BD3">
      <w:pPr>
        <w:jc w:val="both"/>
        <w:rPr>
          <w:sz w:val="24"/>
          <w:szCs w:val="24"/>
        </w:rPr>
      </w:pPr>
    </w:p>
    <w:p w:rsidR="008E2BD3" w:rsidRDefault="008E2BD3" w:rsidP="008E2BD3">
      <w:pPr>
        <w:jc w:val="both"/>
        <w:rPr>
          <w:sz w:val="24"/>
          <w:szCs w:val="24"/>
        </w:rPr>
      </w:pPr>
      <w:r>
        <w:rPr>
          <w:sz w:val="24"/>
          <w:szCs w:val="24"/>
        </w:rPr>
        <w:t xml:space="preserve">Vero è che la competitività portuale si fa sempre più aggressiva ed in questo momento gli scali sono chiamati ad affrontare sfide difficili provenienti dai competitor della sponda nordafricana e della sponda orientale del </w:t>
      </w:r>
      <w:proofErr w:type="spellStart"/>
      <w:r>
        <w:rPr>
          <w:sz w:val="24"/>
          <w:szCs w:val="24"/>
        </w:rPr>
        <w:t>Med</w:t>
      </w:r>
      <w:proofErr w:type="spellEnd"/>
      <w:r>
        <w:rPr>
          <w:sz w:val="24"/>
          <w:szCs w:val="24"/>
        </w:rPr>
        <w:t xml:space="preserve"> che spesso possono avvalersi di free zone strutturate e con incentivi molto orientati all’attrazione di investimenti manifatturieri che sono la linfa vitale delle infrastrutture portuali poiché generatrici di traffico.</w:t>
      </w:r>
    </w:p>
    <w:p w:rsidR="008E2BD3" w:rsidRDefault="008E2BD3" w:rsidP="008E2BD3">
      <w:pPr>
        <w:jc w:val="both"/>
        <w:rPr>
          <w:sz w:val="24"/>
          <w:szCs w:val="24"/>
        </w:rPr>
      </w:pPr>
    </w:p>
    <w:p w:rsidR="008E2BD3" w:rsidRDefault="008E2BD3" w:rsidP="008E2BD3">
      <w:pPr>
        <w:jc w:val="both"/>
        <w:rPr>
          <w:sz w:val="24"/>
          <w:szCs w:val="24"/>
        </w:rPr>
      </w:pPr>
      <w:r>
        <w:rPr>
          <w:sz w:val="24"/>
          <w:szCs w:val="24"/>
        </w:rPr>
        <w:t>Il futuro dei nostri porti sarà molto orientato su modelli che non dovranno essere solo catalizzatori di traffico ma anche espressione di innovazione, intermodalità, attrazione di imprese, di conoscenza delle dinamiche economiche, di internazionalizzazione del territorio, e di sviluppo sostenibile, tutte sfide che sono comprese in un modello portuale che SRM chiama “Porto 6.0” proprio perché strutturato su sei driver</w:t>
      </w:r>
      <w:r w:rsidR="00376E12">
        <w:rPr>
          <w:sz w:val="24"/>
          <w:szCs w:val="24"/>
        </w:rPr>
        <w:t xml:space="preserve">, tutti non a caso richiamati nel </w:t>
      </w:r>
      <w:r w:rsidR="00376E12" w:rsidRPr="001B3C90">
        <w:rPr>
          <w:b/>
          <w:sz w:val="24"/>
          <w:szCs w:val="24"/>
        </w:rPr>
        <w:t>NEXT Generation EU</w:t>
      </w:r>
      <w:r w:rsidR="00376E12">
        <w:rPr>
          <w:sz w:val="24"/>
          <w:szCs w:val="24"/>
        </w:rPr>
        <w:t xml:space="preserve"> in varie Missioni.</w:t>
      </w:r>
    </w:p>
    <w:p w:rsidR="008E2BD3" w:rsidRDefault="008E2BD3" w:rsidP="008E2BD3">
      <w:pPr>
        <w:jc w:val="both"/>
        <w:rPr>
          <w:sz w:val="24"/>
          <w:szCs w:val="24"/>
        </w:rPr>
      </w:pPr>
    </w:p>
    <w:p w:rsidR="008E2BD3" w:rsidRDefault="00376E12" w:rsidP="008E2BD3">
      <w:pPr>
        <w:jc w:val="both"/>
        <w:rPr>
          <w:sz w:val="24"/>
          <w:szCs w:val="24"/>
        </w:rPr>
      </w:pPr>
      <w:r>
        <w:rPr>
          <w:sz w:val="24"/>
          <w:szCs w:val="24"/>
        </w:rPr>
        <w:t xml:space="preserve">Sembra strategico il progetto di realizzare una </w:t>
      </w:r>
      <w:r w:rsidRPr="001B3C90">
        <w:rPr>
          <w:b/>
          <w:sz w:val="24"/>
          <w:szCs w:val="24"/>
        </w:rPr>
        <w:t>ZLS-Zona Logistica Semplificata</w:t>
      </w:r>
      <w:r>
        <w:rPr>
          <w:sz w:val="24"/>
          <w:szCs w:val="24"/>
        </w:rPr>
        <w:t xml:space="preserve"> poiché questo strumento può dare un grande contributo in termini di snellimento burocratico e di consolidare i </w:t>
      </w:r>
      <w:r>
        <w:rPr>
          <w:sz w:val="24"/>
          <w:szCs w:val="24"/>
        </w:rPr>
        <w:lastRenderedPageBreak/>
        <w:t>rapporti tra la logistica e l’industria che spesso non hanno strategie comuni e non solo. La ZLS consente, se ben strutturate di direzionare incentivi verso progetti mirati ad avere la contestuale crescita del porto e delle imprese, elemento di innovazione assoluta.</w:t>
      </w:r>
    </w:p>
    <w:p w:rsidR="00376E12" w:rsidRDefault="00376E12" w:rsidP="008E2BD3">
      <w:pPr>
        <w:jc w:val="both"/>
        <w:rPr>
          <w:sz w:val="24"/>
          <w:szCs w:val="24"/>
        </w:rPr>
      </w:pPr>
    </w:p>
    <w:p w:rsidR="00376E12" w:rsidRDefault="00376E12" w:rsidP="008E2BD3">
      <w:pPr>
        <w:jc w:val="both"/>
        <w:rPr>
          <w:sz w:val="24"/>
          <w:szCs w:val="24"/>
        </w:rPr>
      </w:pPr>
      <w:r>
        <w:rPr>
          <w:sz w:val="24"/>
          <w:szCs w:val="24"/>
        </w:rPr>
        <w:t xml:space="preserve">Così come sarà importante la capacità di strutturare e progettare investimenti che vadano nella direzione </w:t>
      </w:r>
      <w:r w:rsidRPr="001B3C90">
        <w:rPr>
          <w:b/>
          <w:sz w:val="24"/>
          <w:szCs w:val="24"/>
        </w:rPr>
        <w:t xml:space="preserve">dell’idrogeno e/o del GNL e/o del </w:t>
      </w:r>
      <w:proofErr w:type="spellStart"/>
      <w:r w:rsidRPr="001B3C90">
        <w:rPr>
          <w:b/>
          <w:sz w:val="24"/>
          <w:szCs w:val="24"/>
        </w:rPr>
        <w:t>cold</w:t>
      </w:r>
      <w:proofErr w:type="spellEnd"/>
      <w:r w:rsidRPr="001B3C90">
        <w:rPr>
          <w:b/>
          <w:sz w:val="24"/>
          <w:szCs w:val="24"/>
        </w:rPr>
        <w:t xml:space="preserve"> </w:t>
      </w:r>
      <w:proofErr w:type="spellStart"/>
      <w:r w:rsidRPr="001B3C90">
        <w:rPr>
          <w:b/>
          <w:sz w:val="24"/>
          <w:szCs w:val="24"/>
        </w:rPr>
        <w:t>ironing</w:t>
      </w:r>
      <w:proofErr w:type="spellEnd"/>
      <w:r>
        <w:rPr>
          <w:sz w:val="24"/>
          <w:szCs w:val="24"/>
        </w:rPr>
        <w:t xml:space="preserve"> e tutto ciò che può andare nella direzione di diventare GREEN PORT cioè infrastruttura più rispettosa dell’ambiente, più resiliente e più in grado di rispondere agli shock economici come quello della Pandemia.</w:t>
      </w:r>
    </w:p>
    <w:p w:rsidR="00376E12" w:rsidRDefault="00376E12" w:rsidP="008E2BD3">
      <w:pPr>
        <w:jc w:val="both"/>
        <w:rPr>
          <w:sz w:val="24"/>
          <w:szCs w:val="24"/>
        </w:rPr>
      </w:pPr>
    </w:p>
    <w:p w:rsidR="00376E12" w:rsidRDefault="00376E12" w:rsidP="008E2BD3">
      <w:pPr>
        <w:jc w:val="both"/>
        <w:rPr>
          <w:sz w:val="24"/>
          <w:szCs w:val="24"/>
        </w:rPr>
      </w:pPr>
      <w:r>
        <w:rPr>
          <w:sz w:val="24"/>
          <w:szCs w:val="24"/>
        </w:rPr>
        <w:t xml:space="preserve">Altro dogma da assumere in seno alle strategie sarà quello della </w:t>
      </w:r>
      <w:r w:rsidRPr="001B3C90">
        <w:rPr>
          <w:b/>
          <w:sz w:val="24"/>
          <w:szCs w:val="24"/>
        </w:rPr>
        <w:t>digitalizzazione</w:t>
      </w:r>
      <w:r>
        <w:rPr>
          <w:sz w:val="24"/>
          <w:szCs w:val="24"/>
        </w:rPr>
        <w:t xml:space="preserve"> in tutti i sensi. Questo è un </w:t>
      </w:r>
      <w:proofErr w:type="spellStart"/>
      <w:r w:rsidRPr="00376E12">
        <w:rPr>
          <w:i/>
          <w:sz w:val="24"/>
          <w:szCs w:val="24"/>
        </w:rPr>
        <w:t>topic</w:t>
      </w:r>
      <w:proofErr w:type="spellEnd"/>
      <w:r>
        <w:rPr>
          <w:sz w:val="24"/>
          <w:szCs w:val="24"/>
        </w:rPr>
        <w:t xml:space="preserve"> che sarà la vera discriminante della competitività nel settore marittimo. Più saremo in grado di velocizzare e rendere fluidi i nostri processi logistici e più saremo in grado di schiodare il nostro paese dal 19° posto nella classifica del </w:t>
      </w:r>
      <w:proofErr w:type="spellStart"/>
      <w:r>
        <w:rPr>
          <w:sz w:val="24"/>
          <w:szCs w:val="24"/>
        </w:rPr>
        <w:t>Logistics</w:t>
      </w:r>
      <w:proofErr w:type="spellEnd"/>
      <w:r>
        <w:rPr>
          <w:sz w:val="24"/>
          <w:szCs w:val="24"/>
        </w:rPr>
        <w:t xml:space="preserve"> Performance Index della Banca Mondiale. </w:t>
      </w:r>
    </w:p>
    <w:p w:rsidR="001B3C90" w:rsidRDefault="001B3C90" w:rsidP="008E2BD3">
      <w:pPr>
        <w:jc w:val="both"/>
        <w:rPr>
          <w:sz w:val="24"/>
          <w:szCs w:val="24"/>
        </w:rPr>
      </w:pPr>
    </w:p>
    <w:p w:rsidR="001B3C90" w:rsidRDefault="001B3C90" w:rsidP="008E2BD3">
      <w:pPr>
        <w:jc w:val="both"/>
        <w:rPr>
          <w:sz w:val="24"/>
          <w:szCs w:val="24"/>
        </w:rPr>
      </w:pPr>
      <w:r>
        <w:rPr>
          <w:sz w:val="24"/>
          <w:szCs w:val="24"/>
        </w:rPr>
        <w:t>Dal canto nostro come sistema Paese dovremo essere in grado di risolvere alcuni dei nodi che caratterizzano la nostra logistica come ad esempio le connessioni mare – ferro su cui abbiamo oggettivamente investito poco e l’eccessivo utilizzo della clausola ex-</w:t>
      </w:r>
      <w:proofErr w:type="spellStart"/>
      <w:r>
        <w:rPr>
          <w:sz w:val="24"/>
          <w:szCs w:val="24"/>
        </w:rPr>
        <w:t>works</w:t>
      </w:r>
      <w:proofErr w:type="spellEnd"/>
      <w:r>
        <w:rPr>
          <w:sz w:val="24"/>
          <w:szCs w:val="24"/>
        </w:rPr>
        <w:t xml:space="preserve"> nei rapporti con gli esportatori esteri che si avvalgono di loro operatori per trasportare le merci a destinazione non ricorrendo ad imprese italiane facendo così perdere lavoro alla nostra filiera; secondo uno studio di SRM su un panel di imprese manifatturiere ben il 73% di queste ricorre a questa clausola ed i Emilia-Romagna siamo a circa il 60%.</w:t>
      </w:r>
    </w:p>
    <w:p w:rsidR="001B3C90" w:rsidRDefault="001B3C90" w:rsidP="008E2BD3">
      <w:pPr>
        <w:jc w:val="both"/>
        <w:rPr>
          <w:sz w:val="24"/>
          <w:szCs w:val="24"/>
        </w:rPr>
      </w:pPr>
    </w:p>
    <w:p w:rsidR="001B3C90" w:rsidRDefault="001B3C90" w:rsidP="008E2BD3">
      <w:pPr>
        <w:jc w:val="both"/>
        <w:rPr>
          <w:sz w:val="24"/>
          <w:szCs w:val="24"/>
        </w:rPr>
      </w:pPr>
      <w:r>
        <w:rPr>
          <w:sz w:val="24"/>
          <w:szCs w:val="24"/>
        </w:rPr>
        <w:t>Il futuro è quindi denso e ricco di sfide e occorrerà affrontarle con determinazione.</w:t>
      </w:r>
    </w:p>
    <w:p w:rsidR="001B3C90" w:rsidRDefault="001B3C90" w:rsidP="008E2BD3">
      <w:pPr>
        <w:jc w:val="both"/>
        <w:rPr>
          <w:sz w:val="24"/>
          <w:szCs w:val="24"/>
        </w:rPr>
      </w:pPr>
    </w:p>
    <w:p w:rsidR="001B3C90" w:rsidRPr="008E2BD3" w:rsidRDefault="001B3C90" w:rsidP="008E2BD3">
      <w:pPr>
        <w:jc w:val="both"/>
        <w:rPr>
          <w:sz w:val="24"/>
          <w:szCs w:val="24"/>
        </w:rPr>
      </w:pPr>
    </w:p>
    <w:sectPr w:rsidR="001B3C90" w:rsidRPr="008E2BD3" w:rsidSect="00832536">
      <w:pgSz w:w="11906" w:h="16838"/>
      <w:pgMar w:top="1417"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924" w:rsidRDefault="00894924" w:rsidP="00F038ED">
      <w:r>
        <w:separator/>
      </w:r>
    </w:p>
  </w:endnote>
  <w:endnote w:type="continuationSeparator" w:id="0">
    <w:p w:rsidR="00894924" w:rsidRDefault="00894924" w:rsidP="00F0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B99" w:rsidRDefault="00A60B9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9887560"/>
      <w:docPartObj>
        <w:docPartGallery w:val="Page Numbers (Bottom of Page)"/>
        <w:docPartUnique/>
      </w:docPartObj>
    </w:sdtPr>
    <w:sdtEndPr/>
    <w:sdtContent>
      <w:p w:rsidR="00A60B99" w:rsidRDefault="00A60B99">
        <w:pPr>
          <w:pStyle w:val="Pidipagina"/>
          <w:jc w:val="right"/>
        </w:pPr>
        <w:r>
          <w:fldChar w:fldCharType="begin"/>
        </w:r>
        <w:r>
          <w:instrText>PAGE   \* MERGEFORMAT</w:instrText>
        </w:r>
        <w:r>
          <w:fldChar w:fldCharType="separate"/>
        </w:r>
        <w:r>
          <w:t>2</w:t>
        </w:r>
        <w:r>
          <w:fldChar w:fldCharType="end"/>
        </w:r>
      </w:p>
    </w:sdtContent>
  </w:sdt>
  <w:p w:rsidR="007E69C7" w:rsidRDefault="007E69C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B99" w:rsidRDefault="00A60B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924" w:rsidRDefault="00894924" w:rsidP="00F038ED">
      <w:r>
        <w:separator/>
      </w:r>
    </w:p>
  </w:footnote>
  <w:footnote w:type="continuationSeparator" w:id="0">
    <w:p w:rsidR="00894924" w:rsidRDefault="00894924" w:rsidP="00F038ED">
      <w:r>
        <w:continuationSeparator/>
      </w:r>
    </w:p>
  </w:footnote>
  <w:footnote w:id="1">
    <w:p w:rsidR="00197312" w:rsidRDefault="00197312">
      <w:pPr>
        <w:pStyle w:val="Testonotaapidipagina"/>
      </w:pPr>
      <w:r>
        <w:rPr>
          <w:rStyle w:val="Rimandonotaapidipagina"/>
        </w:rPr>
        <w:footnoteRef/>
      </w:r>
      <w:r>
        <w:t xml:space="preserve"> Si considerano le 4 modalità dichiarate.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B99" w:rsidRDefault="00A60B9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B99" w:rsidRDefault="00A60B9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B99" w:rsidRDefault="00A60B9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803E1"/>
    <w:multiLevelType w:val="hybridMultilevel"/>
    <w:tmpl w:val="66507DB6"/>
    <w:lvl w:ilvl="0" w:tplc="B3CAF7F0">
      <w:numFmt w:val="bullet"/>
      <w:lvlText w:val="-"/>
      <w:lvlJc w:val="left"/>
      <w:pPr>
        <w:ind w:left="420" w:hanging="360"/>
      </w:pPr>
      <w:rPr>
        <w:rFonts w:ascii="Calibri" w:eastAsiaTheme="minorHAnsi" w:hAnsi="Calibri" w:cs="Calibr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8ED"/>
    <w:rsid w:val="0002281B"/>
    <w:rsid w:val="0005402A"/>
    <w:rsid w:val="000840DD"/>
    <w:rsid w:val="000B3273"/>
    <w:rsid w:val="000E270C"/>
    <w:rsid w:val="000F0440"/>
    <w:rsid w:val="000F6729"/>
    <w:rsid w:val="00104A1C"/>
    <w:rsid w:val="00172468"/>
    <w:rsid w:val="00197312"/>
    <w:rsid w:val="001B3C90"/>
    <w:rsid w:val="001D26F1"/>
    <w:rsid w:val="001F04F3"/>
    <w:rsid w:val="001F2C8B"/>
    <w:rsid w:val="00216E11"/>
    <w:rsid w:val="00224B65"/>
    <w:rsid w:val="00244B3F"/>
    <w:rsid w:val="00282ABD"/>
    <w:rsid w:val="002B7744"/>
    <w:rsid w:val="00300ADA"/>
    <w:rsid w:val="00302F60"/>
    <w:rsid w:val="00307881"/>
    <w:rsid w:val="003328E4"/>
    <w:rsid w:val="00375EEA"/>
    <w:rsid w:val="00376E12"/>
    <w:rsid w:val="00392152"/>
    <w:rsid w:val="003A2ED9"/>
    <w:rsid w:val="003A7838"/>
    <w:rsid w:val="0043611E"/>
    <w:rsid w:val="0046231B"/>
    <w:rsid w:val="00465AA5"/>
    <w:rsid w:val="0047203B"/>
    <w:rsid w:val="004A7EDE"/>
    <w:rsid w:val="004C11CB"/>
    <w:rsid w:val="00507E14"/>
    <w:rsid w:val="00527D40"/>
    <w:rsid w:val="00536FEC"/>
    <w:rsid w:val="005A75BB"/>
    <w:rsid w:val="005C3A74"/>
    <w:rsid w:val="005C4DB1"/>
    <w:rsid w:val="005F7521"/>
    <w:rsid w:val="00600799"/>
    <w:rsid w:val="006266D9"/>
    <w:rsid w:val="00661F6E"/>
    <w:rsid w:val="006C1ED9"/>
    <w:rsid w:val="007062E8"/>
    <w:rsid w:val="00731951"/>
    <w:rsid w:val="007471D3"/>
    <w:rsid w:val="00794260"/>
    <w:rsid w:val="007A326C"/>
    <w:rsid w:val="007E69C7"/>
    <w:rsid w:val="008026A6"/>
    <w:rsid w:val="00807708"/>
    <w:rsid w:val="00832536"/>
    <w:rsid w:val="00845D58"/>
    <w:rsid w:val="00860007"/>
    <w:rsid w:val="00872EAE"/>
    <w:rsid w:val="00894924"/>
    <w:rsid w:val="008B2262"/>
    <w:rsid w:val="008B3E88"/>
    <w:rsid w:val="008E148D"/>
    <w:rsid w:val="008E2BD3"/>
    <w:rsid w:val="008F01D8"/>
    <w:rsid w:val="00924FF1"/>
    <w:rsid w:val="00974687"/>
    <w:rsid w:val="00985913"/>
    <w:rsid w:val="0099741C"/>
    <w:rsid w:val="009A071A"/>
    <w:rsid w:val="009A483D"/>
    <w:rsid w:val="009A692C"/>
    <w:rsid w:val="00A204D5"/>
    <w:rsid w:val="00A32DB2"/>
    <w:rsid w:val="00A60B99"/>
    <w:rsid w:val="00A71139"/>
    <w:rsid w:val="00B2333A"/>
    <w:rsid w:val="00B75609"/>
    <w:rsid w:val="00B93F0C"/>
    <w:rsid w:val="00BB70AE"/>
    <w:rsid w:val="00BC2AB3"/>
    <w:rsid w:val="00BD408B"/>
    <w:rsid w:val="00C122FA"/>
    <w:rsid w:val="00C16B4A"/>
    <w:rsid w:val="00C63937"/>
    <w:rsid w:val="00C81C77"/>
    <w:rsid w:val="00CB0B40"/>
    <w:rsid w:val="00CC11B2"/>
    <w:rsid w:val="00D02F82"/>
    <w:rsid w:val="00D765E7"/>
    <w:rsid w:val="00D93E7B"/>
    <w:rsid w:val="00DA1A6B"/>
    <w:rsid w:val="00DB754A"/>
    <w:rsid w:val="00DC2ABC"/>
    <w:rsid w:val="00E36F73"/>
    <w:rsid w:val="00E6702B"/>
    <w:rsid w:val="00E75BF1"/>
    <w:rsid w:val="00EA5F30"/>
    <w:rsid w:val="00EB2B28"/>
    <w:rsid w:val="00EC56EF"/>
    <w:rsid w:val="00ED1F12"/>
    <w:rsid w:val="00EF1C35"/>
    <w:rsid w:val="00F038ED"/>
    <w:rsid w:val="00F26E28"/>
    <w:rsid w:val="00F76E7C"/>
    <w:rsid w:val="00FB42B5"/>
    <w:rsid w:val="00FD44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9C86E"/>
  <w15:chartTrackingRefBased/>
  <w15:docId w15:val="{D1476750-A7F6-41BD-9247-827A439D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038ED"/>
    <w:pPr>
      <w:spacing w:after="0" w:line="240" w:lineRule="auto"/>
    </w:pPr>
    <w:rPr>
      <w:rFonts w:ascii="Calibri" w:hAnsi="Calibri" w:cs="Calibr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197312"/>
    <w:rPr>
      <w:sz w:val="20"/>
      <w:szCs w:val="20"/>
    </w:rPr>
  </w:style>
  <w:style w:type="character" w:customStyle="1" w:styleId="TestonotaapidipaginaCarattere">
    <w:name w:val="Testo nota a piè di pagina Carattere"/>
    <w:basedOn w:val="Carpredefinitoparagrafo"/>
    <w:link w:val="Testonotaapidipagina"/>
    <w:uiPriority w:val="99"/>
    <w:semiHidden/>
    <w:rsid w:val="00197312"/>
    <w:rPr>
      <w:rFonts w:ascii="Calibri" w:hAnsi="Calibri" w:cs="Calibri"/>
      <w:szCs w:val="20"/>
    </w:rPr>
  </w:style>
  <w:style w:type="character" w:styleId="Rimandonotaapidipagina">
    <w:name w:val="footnote reference"/>
    <w:basedOn w:val="Carpredefinitoparagrafo"/>
    <w:uiPriority w:val="99"/>
    <w:semiHidden/>
    <w:unhideWhenUsed/>
    <w:rsid w:val="00197312"/>
    <w:rPr>
      <w:vertAlign w:val="superscript"/>
    </w:rPr>
  </w:style>
  <w:style w:type="character" w:styleId="Collegamentoipertestuale">
    <w:name w:val="Hyperlink"/>
    <w:basedOn w:val="Carpredefinitoparagrafo"/>
    <w:uiPriority w:val="99"/>
    <w:unhideWhenUsed/>
    <w:rsid w:val="004C11CB"/>
    <w:rPr>
      <w:color w:val="0563C1" w:themeColor="hyperlink"/>
      <w:u w:val="single"/>
    </w:rPr>
  </w:style>
  <w:style w:type="character" w:styleId="Menzionenonrisolta">
    <w:name w:val="Unresolved Mention"/>
    <w:basedOn w:val="Carpredefinitoparagrafo"/>
    <w:uiPriority w:val="99"/>
    <w:semiHidden/>
    <w:unhideWhenUsed/>
    <w:rsid w:val="004C11CB"/>
    <w:rPr>
      <w:color w:val="605E5C"/>
      <w:shd w:val="clear" w:color="auto" w:fill="E1DFDD"/>
    </w:rPr>
  </w:style>
  <w:style w:type="paragraph" w:styleId="Intestazione">
    <w:name w:val="header"/>
    <w:basedOn w:val="Normale"/>
    <w:link w:val="IntestazioneCarattere"/>
    <w:uiPriority w:val="99"/>
    <w:unhideWhenUsed/>
    <w:rsid w:val="007E69C7"/>
    <w:pPr>
      <w:tabs>
        <w:tab w:val="center" w:pos="4819"/>
        <w:tab w:val="right" w:pos="9638"/>
      </w:tabs>
    </w:pPr>
  </w:style>
  <w:style w:type="character" w:customStyle="1" w:styleId="IntestazioneCarattere">
    <w:name w:val="Intestazione Carattere"/>
    <w:basedOn w:val="Carpredefinitoparagrafo"/>
    <w:link w:val="Intestazione"/>
    <w:uiPriority w:val="99"/>
    <w:rsid w:val="007E69C7"/>
    <w:rPr>
      <w:rFonts w:ascii="Calibri" w:hAnsi="Calibri" w:cs="Calibri"/>
      <w:sz w:val="22"/>
    </w:rPr>
  </w:style>
  <w:style w:type="paragraph" w:styleId="Pidipagina">
    <w:name w:val="footer"/>
    <w:basedOn w:val="Normale"/>
    <w:link w:val="PidipaginaCarattere"/>
    <w:uiPriority w:val="99"/>
    <w:unhideWhenUsed/>
    <w:rsid w:val="007E69C7"/>
    <w:pPr>
      <w:tabs>
        <w:tab w:val="center" w:pos="4819"/>
        <w:tab w:val="right" w:pos="9638"/>
      </w:tabs>
    </w:pPr>
  </w:style>
  <w:style w:type="character" w:customStyle="1" w:styleId="PidipaginaCarattere">
    <w:name w:val="Piè di pagina Carattere"/>
    <w:basedOn w:val="Carpredefinitoparagrafo"/>
    <w:link w:val="Pidipagina"/>
    <w:uiPriority w:val="99"/>
    <w:rsid w:val="007E69C7"/>
    <w:rPr>
      <w:rFonts w:ascii="Calibri" w:hAnsi="Calibri" w:cs="Calibri"/>
      <w:sz w:val="22"/>
    </w:rPr>
  </w:style>
  <w:style w:type="paragraph" w:styleId="Paragrafoelenco">
    <w:name w:val="List Paragraph"/>
    <w:basedOn w:val="Normale"/>
    <w:uiPriority w:val="34"/>
    <w:qFormat/>
    <w:rsid w:val="00A71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01925">
      <w:bodyDiv w:val="1"/>
      <w:marLeft w:val="0"/>
      <w:marRight w:val="0"/>
      <w:marTop w:val="0"/>
      <w:marBottom w:val="0"/>
      <w:divBdr>
        <w:top w:val="none" w:sz="0" w:space="0" w:color="auto"/>
        <w:left w:val="none" w:sz="0" w:space="0" w:color="auto"/>
        <w:bottom w:val="none" w:sz="0" w:space="0" w:color="auto"/>
        <w:right w:val="none" w:sz="0" w:space="0" w:color="auto"/>
      </w:divBdr>
    </w:div>
    <w:div w:id="162355387">
      <w:bodyDiv w:val="1"/>
      <w:marLeft w:val="0"/>
      <w:marRight w:val="0"/>
      <w:marTop w:val="0"/>
      <w:marBottom w:val="0"/>
      <w:divBdr>
        <w:top w:val="none" w:sz="0" w:space="0" w:color="auto"/>
        <w:left w:val="none" w:sz="0" w:space="0" w:color="auto"/>
        <w:bottom w:val="none" w:sz="0" w:space="0" w:color="auto"/>
        <w:right w:val="none" w:sz="0" w:space="0" w:color="auto"/>
      </w:divBdr>
    </w:div>
    <w:div w:id="195779034">
      <w:bodyDiv w:val="1"/>
      <w:marLeft w:val="0"/>
      <w:marRight w:val="0"/>
      <w:marTop w:val="0"/>
      <w:marBottom w:val="0"/>
      <w:divBdr>
        <w:top w:val="none" w:sz="0" w:space="0" w:color="auto"/>
        <w:left w:val="none" w:sz="0" w:space="0" w:color="auto"/>
        <w:bottom w:val="none" w:sz="0" w:space="0" w:color="auto"/>
        <w:right w:val="none" w:sz="0" w:space="0" w:color="auto"/>
      </w:divBdr>
    </w:div>
    <w:div w:id="303898370">
      <w:bodyDiv w:val="1"/>
      <w:marLeft w:val="0"/>
      <w:marRight w:val="0"/>
      <w:marTop w:val="0"/>
      <w:marBottom w:val="0"/>
      <w:divBdr>
        <w:top w:val="none" w:sz="0" w:space="0" w:color="auto"/>
        <w:left w:val="none" w:sz="0" w:space="0" w:color="auto"/>
        <w:bottom w:val="none" w:sz="0" w:space="0" w:color="auto"/>
        <w:right w:val="none" w:sz="0" w:space="0" w:color="auto"/>
      </w:divBdr>
    </w:div>
    <w:div w:id="346903717">
      <w:bodyDiv w:val="1"/>
      <w:marLeft w:val="0"/>
      <w:marRight w:val="0"/>
      <w:marTop w:val="0"/>
      <w:marBottom w:val="0"/>
      <w:divBdr>
        <w:top w:val="none" w:sz="0" w:space="0" w:color="auto"/>
        <w:left w:val="none" w:sz="0" w:space="0" w:color="auto"/>
        <w:bottom w:val="none" w:sz="0" w:space="0" w:color="auto"/>
        <w:right w:val="none" w:sz="0" w:space="0" w:color="auto"/>
      </w:divBdr>
    </w:div>
    <w:div w:id="516314603">
      <w:bodyDiv w:val="1"/>
      <w:marLeft w:val="0"/>
      <w:marRight w:val="0"/>
      <w:marTop w:val="0"/>
      <w:marBottom w:val="0"/>
      <w:divBdr>
        <w:top w:val="none" w:sz="0" w:space="0" w:color="auto"/>
        <w:left w:val="none" w:sz="0" w:space="0" w:color="auto"/>
        <w:bottom w:val="none" w:sz="0" w:space="0" w:color="auto"/>
        <w:right w:val="none" w:sz="0" w:space="0" w:color="auto"/>
      </w:divBdr>
    </w:div>
    <w:div w:id="784544005">
      <w:bodyDiv w:val="1"/>
      <w:marLeft w:val="0"/>
      <w:marRight w:val="0"/>
      <w:marTop w:val="0"/>
      <w:marBottom w:val="0"/>
      <w:divBdr>
        <w:top w:val="none" w:sz="0" w:space="0" w:color="auto"/>
        <w:left w:val="none" w:sz="0" w:space="0" w:color="auto"/>
        <w:bottom w:val="none" w:sz="0" w:space="0" w:color="auto"/>
        <w:right w:val="none" w:sz="0" w:space="0" w:color="auto"/>
      </w:divBdr>
    </w:div>
    <w:div w:id="846093287">
      <w:bodyDiv w:val="1"/>
      <w:marLeft w:val="0"/>
      <w:marRight w:val="0"/>
      <w:marTop w:val="0"/>
      <w:marBottom w:val="0"/>
      <w:divBdr>
        <w:top w:val="none" w:sz="0" w:space="0" w:color="auto"/>
        <w:left w:val="none" w:sz="0" w:space="0" w:color="auto"/>
        <w:bottom w:val="none" w:sz="0" w:space="0" w:color="auto"/>
        <w:right w:val="none" w:sz="0" w:space="0" w:color="auto"/>
      </w:divBdr>
    </w:div>
    <w:div w:id="1060833910">
      <w:bodyDiv w:val="1"/>
      <w:marLeft w:val="0"/>
      <w:marRight w:val="0"/>
      <w:marTop w:val="0"/>
      <w:marBottom w:val="0"/>
      <w:divBdr>
        <w:top w:val="none" w:sz="0" w:space="0" w:color="auto"/>
        <w:left w:val="none" w:sz="0" w:space="0" w:color="auto"/>
        <w:bottom w:val="none" w:sz="0" w:space="0" w:color="auto"/>
        <w:right w:val="none" w:sz="0" w:space="0" w:color="auto"/>
      </w:divBdr>
    </w:div>
    <w:div w:id="1136023319">
      <w:bodyDiv w:val="1"/>
      <w:marLeft w:val="0"/>
      <w:marRight w:val="0"/>
      <w:marTop w:val="0"/>
      <w:marBottom w:val="0"/>
      <w:divBdr>
        <w:top w:val="none" w:sz="0" w:space="0" w:color="auto"/>
        <w:left w:val="none" w:sz="0" w:space="0" w:color="auto"/>
        <w:bottom w:val="none" w:sz="0" w:space="0" w:color="auto"/>
        <w:right w:val="none" w:sz="0" w:space="0" w:color="auto"/>
      </w:divBdr>
    </w:div>
    <w:div w:id="1231500546">
      <w:bodyDiv w:val="1"/>
      <w:marLeft w:val="0"/>
      <w:marRight w:val="0"/>
      <w:marTop w:val="0"/>
      <w:marBottom w:val="0"/>
      <w:divBdr>
        <w:top w:val="none" w:sz="0" w:space="0" w:color="auto"/>
        <w:left w:val="none" w:sz="0" w:space="0" w:color="auto"/>
        <w:bottom w:val="none" w:sz="0" w:space="0" w:color="auto"/>
        <w:right w:val="none" w:sz="0" w:space="0" w:color="auto"/>
      </w:divBdr>
    </w:div>
    <w:div w:id="1264537076">
      <w:bodyDiv w:val="1"/>
      <w:marLeft w:val="0"/>
      <w:marRight w:val="0"/>
      <w:marTop w:val="0"/>
      <w:marBottom w:val="0"/>
      <w:divBdr>
        <w:top w:val="none" w:sz="0" w:space="0" w:color="auto"/>
        <w:left w:val="none" w:sz="0" w:space="0" w:color="auto"/>
        <w:bottom w:val="none" w:sz="0" w:space="0" w:color="auto"/>
        <w:right w:val="none" w:sz="0" w:space="0" w:color="auto"/>
      </w:divBdr>
    </w:div>
    <w:div w:id="1367289622">
      <w:bodyDiv w:val="1"/>
      <w:marLeft w:val="0"/>
      <w:marRight w:val="0"/>
      <w:marTop w:val="0"/>
      <w:marBottom w:val="0"/>
      <w:divBdr>
        <w:top w:val="none" w:sz="0" w:space="0" w:color="auto"/>
        <w:left w:val="none" w:sz="0" w:space="0" w:color="auto"/>
        <w:bottom w:val="none" w:sz="0" w:space="0" w:color="auto"/>
        <w:right w:val="none" w:sz="0" w:space="0" w:color="auto"/>
      </w:divBdr>
    </w:div>
    <w:div w:id="1578322041">
      <w:bodyDiv w:val="1"/>
      <w:marLeft w:val="0"/>
      <w:marRight w:val="0"/>
      <w:marTop w:val="0"/>
      <w:marBottom w:val="0"/>
      <w:divBdr>
        <w:top w:val="none" w:sz="0" w:space="0" w:color="auto"/>
        <w:left w:val="none" w:sz="0" w:space="0" w:color="auto"/>
        <w:bottom w:val="none" w:sz="0" w:space="0" w:color="auto"/>
        <w:right w:val="none" w:sz="0" w:space="0" w:color="auto"/>
      </w:divBdr>
    </w:div>
    <w:div w:id="1853840229">
      <w:bodyDiv w:val="1"/>
      <w:marLeft w:val="0"/>
      <w:marRight w:val="0"/>
      <w:marTop w:val="0"/>
      <w:marBottom w:val="0"/>
      <w:divBdr>
        <w:top w:val="none" w:sz="0" w:space="0" w:color="auto"/>
        <w:left w:val="none" w:sz="0" w:space="0" w:color="auto"/>
        <w:bottom w:val="none" w:sz="0" w:space="0" w:color="auto"/>
        <w:right w:val="none" w:sz="0" w:space="0" w:color="auto"/>
      </w:divBdr>
    </w:div>
    <w:div w:id="1896357275">
      <w:bodyDiv w:val="1"/>
      <w:marLeft w:val="0"/>
      <w:marRight w:val="0"/>
      <w:marTop w:val="0"/>
      <w:marBottom w:val="0"/>
      <w:divBdr>
        <w:top w:val="none" w:sz="0" w:space="0" w:color="auto"/>
        <w:left w:val="none" w:sz="0" w:space="0" w:color="auto"/>
        <w:bottom w:val="none" w:sz="0" w:space="0" w:color="auto"/>
        <w:right w:val="none" w:sz="0" w:space="0" w:color="auto"/>
      </w:divBdr>
    </w:div>
    <w:div w:id="2065828829">
      <w:bodyDiv w:val="1"/>
      <w:marLeft w:val="0"/>
      <w:marRight w:val="0"/>
      <w:marTop w:val="0"/>
      <w:marBottom w:val="0"/>
      <w:divBdr>
        <w:top w:val="none" w:sz="0" w:space="0" w:color="auto"/>
        <w:left w:val="none" w:sz="0" w:space="0" w:color="auto"/>
        <w:bottom w:val="none" w:sz="0" w:space="0" w:color="auto"/>
        <w:right w:val="none" w:sz="0" w:space="0" w:color="auto"/>
      </w:divBdr>
    </w:div>
    <w:div w:id="210101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51AC9-CE98-43EE-914D-E4EA306FF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2472</Words>
  <Characters>14096</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Ferrara Olimpia</dc:creator>
  <cp:keywords/>
  <dc:description/>
  <cp:lastModifiedBy>PANARO ALESSANDRO</cp:lastModifiedBy>
  <cp:revision>4</cp:revision>
  <dcterms:created xsi:type="dcterms:W3CDTF">2021-07-15T08:09:00Z</dcterms:created>
  <dcterms:modified xsi:type="dcterms:W3CDTF">2021-07-15T09:53:00Z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5fe31f-9de1-4167-a753-111c0df8115f_Enabled">
    <vt:lpwstr>true</vt:lpwstr>
  </property>
  <property fmtid="{D5CDD505-2E9C-101B-9397-08002B2CF9AE}" pid="3" name="MSIP_Label_5f5fe31f-9de1-4167-a753-111c0df8115f_SetDate">
    <vt:lpwstr>2021-05-04T13:22:23Z</vt:lpwstr>
  </property>
  <property fmtid="{D5CDD505-2E9C-101B-9397-08002B2CF9AE}" pid="4" name="MSIP_Label_5f5fe31f-9de1-4167-a753-111c0df8115f_Method">
    <vt:lpwstr>Standard</vt:lpwstr>
  </property>
  <property fmtid="{D5CDD505-2E9C-101B-9397-08002B2CF9AE}" pid="5" name="MSIP_Label_5f5fe31f-9de1-4167-a753-111c0df8115f_Name">
    <vt:lpwstr>5f5fe31f-9de1-4167-a753-111c0df8115f</vt:lpwstr>
  </property>
  <property fmtid="{D5CDD505-2E9C-101B-9397-08002B2CF9AE}" pid="6" name="MSIP_Label_5f5fe31f-9de1-4167-a753-111c0df8115f_SiteId">
    <vt:lpwstr>cc4baf00-15c9-48dd-9f59-88c98bde2be7</vt:lpwstr>
  </property>
  <property fmtid="{D5CDD505-2E9C-101B-9397-08002B2CF9AE}" pid="7" name="MSIP_Label_5f5fe31f-9de1-4167-a753-111c0df8115f_ActionId">
    <vt:lpwstr>36d69f2c-2dea-441c-9189-80b138d39937</vt:lpwstr>
  </property>
  <property fmtid="{D5CDD505-2E9C-101B-9397-08002B2CF9AE}" pid="8" name="MSIP_Label_5f5fe31f-9de1-4167-a753-111c0df8115f_ContentBits">
    <vt:lpwstr>0</vt:lpwstr>
  </property>
</Properties>
</file>